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center" w:pos="4536"/>
          <w:tab w:val="right" w:pos="9072"/>
        </w:tabs>
        <w:spacing w:before="120" w:after="120"/>
        <w:rPr>
          <w:rFonts w:ascii="Arial" w:hAnsi="Arial" w:eastAsia="MS Mincho" w:cs="Arial"/>
          <w:b/>
          <w:bCs/>
          <w:sz w:val="28"/>
          <w:lang w:eastAsia="ja-JP"/>
        </w:rPr>
      </w:pPr>
      <w:r>
        <w:rPr>
          <w:rFonts w:ascii="Arial" w:hAnsi="Arial" w:eastAsia="MS Mincho" w:cs="Arial"/>
          <w:b/>
          <w:bCs/>
          <w:sz w:val="28"/>
          <w:lang w:eastAsia="ja-JP"/>
        </w:rPr>
        <w:t>3GPP TSG RAN WG1 #109-e</w:t>
      </w:r>
      <w:r>
        <w:rPr>
          <w:rFonts w:ascii="Arial" w:hAnsi="Arial" w:eastAsia="MS Mincho" w:cs="Arial"/>
          <w:b/>
          <w:bCs/>
          <w:sz w:val="28"/>
          <w:lang w:eastAsia="ja-JP"/>
        </w:rPr>
        <w:tab/>
      </w:r>
      <w:r>
        <w:rPr>
          <w:rFonts w:hint="eastAsia" w:ascii="Arial" w:hAnsi="Arial" w:cs="Arial"/>
          <w:b/>
          <w:bCs/>
          <w:sz w:val="28"/>
        </w:rPr>
        <w:t xml:space="preserve">                         </w:t>
      </w:r>
      <w:r>
        <w:rPr>
          <w:rFonts w:ascii="Arial" w:hAnsi="Arial" w:eastAsia="MS Mincho" w:cs="Arial"/>
          <w:b/>
          <w:bCs/>
          <w:sz w:val="28"/>
          <w:lang w:eastAsia="ja-JP"/>
        </w:rPr>
        <w:tab/>
      </w:r>
      <w:r>
        <w:rPr>
          <w:rFonts w:ascii="Arial" w:hAnsi="Arial" w:eastAsia="MS Mincho" w:cs="Arial"/>
          <w:b/>
          <w:bCs/>
          <w:sz w:val="28"/>
          <w:lang w:eastAsia="ja-JP"/>
        </w:rPr>
        <w:t>R1-220</w:t>
      </w:r>
      <w:r>
        <w:rPr>
          <w:rFonts w:hint="eastAsia" w:ascii="Arial" w:hAnsi="Arial" w:cs="Arial"/>
          <w:b/>
          <w:bCs/>
          <w:sz w:val="28"/>
        </w:rPr>
        <w:t>3608</w:t>
      </w:r>
    </w:p>
    <w:p>
      <w:pPr>
        <w:tabs>
          <w:tab w:val="center" w:pos="4536"/>
          <w:tab w:val="right" w:pos="9072"/>
        </w:tabs>
        <w:spacing w:before="120" w:after="120"/>
        <w:rPr>
          <w:rFonts w:ascii="Arial" w:hAnsi="Arial" w:eastAsia="MS Mincho" w:cs="Arial"/>
          <w:b/>
          <w:bCs/>
          <w:sz w:val="28"/>
          <w:lang w:eastAsia="ja-JP"/>
        </w:rPr>
      </w:pPr>
      <w:r>
        <w:rPr>
          <w:rFonts w:ascii="Arial" w:hAnsi="Arial" w:eastAsia="MS Mincho" w:cs="Arial"/>
          <w:b/>
          <w:bCs/>
          <w:sz w:val="28"/>
          <w:lang w:eastAsia="ja-JP"/>
        </w:rPr>
        <w:t>e-Meeting, May 9</w:t>
      </w:r>
      <w:r>
        <w:rPr>
          <w:rFonts w:ascii="Arial" w:hAnsi="Arial"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 – 20</w:t>
      </w:r>
      <w:r>
        <w:rPr>
          <w:rFonts w:ascii="Arial" w:hAnsi="Arial"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>, 2022</w:t>
      </w:r>
    </w:p>
    <w:p>
      <w:pPr>
        <w:tabs>
          <w:tab w:val="center" w:pos="4536"/>
          <w:tab w:val="right" w:pos="9072"/>
        </w:tabs>
        <w:spacing w:before="120" w:after="120"/>
        <w:rPr>
          <w:b/>
          <w:sz w:val="22"/>
          <w:szCs w:val="22"/>
        </w:rPr>
      </w:pPr>
    </w:p>
    <w:p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Source: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>ZTE, Sanechips</w:t>
      </w:r>
    </w:p>
    <w:p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>Consideration about XR services</w:t>
      </w:r>
    </w:p>
    <w:p>
      <w:pPr>
        <w:tabs>
          <w:tab w:val="left" w:pos="1985"/>
        </w:tabs>
        <w:spacing w:before="120" w:after="120" w:line="240" w:lineRule="auto"/>
        <w:rPr>
          <w:b/>
          <w:sz w:val="22"/>
          <w:szCs w:val="22"/>
        </w:rPr>
      </w:pPr>
      <w:r>
        <w:rPr>
          <w:b/>
          <w:sz w:val="22"/>
          <w:szCs w:val="22"/>
          <w:lang w:val="pt-BR"/>
        </w:rPr>
        <w:t>Agenda item:</w:t>
      </w:r>
      <w:r>
        <w:rPr>
          <w:b/>
          <w:sz w:val="22"/>
          <w:szCs w:val="22"/>
          <w:lang w:val="pt-BR"/>
        </w:rPr>
        <w:tab/>
      </w:r>
      <w:r>
        <w:rPr>
          <w:b/>
          <w:sz w:val="22"/>
          <w:szCs w:val="22"/>
        </w:rPr>
        <w:t>9.11.</w:t>
      </w:r>
      <w:r>
        <w:rPr>
          <w:rFonts w:hint="eastAsia"/>
          <w:b/>
          <w:sz w:val="22"/>
          <w:szCs w:val="22"/>
        </w:rPr>
        <w:t>3</w:t>
      </w:r>
    </w:p>
    <w:p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t>Document for:</w:t>
      </w:r>
      <w:r>
        <w:rPr>
          <w:b/>
          <w:sz w:val="22"/>
          <w:szCs w:val="22"/>
          <w:lang w:val="pt-BR"/>
        </w:rPr>
        <w:tab/>
      </w:r>
      <w:r>
        <w:rPr>
          <w:b/>
          <w:sz w:val="22"/>
          <w:szCs w:val="22"/>
        </w:rPr>
        <w:t>Discussion and decision</w:t>
      </w:r>
    </w:p>
    <w:p>
      <w:pPr>
        <w:pStyle w:val="2"/>
        <w:spacing w:before="120" w:after="120"/>
        <w:ind w:left="0"/>
        <w:rPr>
          <w:rFonts w:ascii="Times New Roman" w:hAnsi="Times New Roman" w:eastAsia="宋体"/>
          <w:b/>
          <w:bCs/>
          <w:sz w:val="24"/>
          <w:szCs w:val="24"/>
        </w:rPr>
      </w:pPr>
      <w:r>
        <w:rPr>
          <w:rFonts w:ascii="Times New Roman" w:hAnsi="Times New Roman" w:eastAsia="宋体"/>
          <w:b/>
          <w:bCs/>
          <w:sz w:val="24"/>
          <w:szCs w:val="24"/>
        </w:rPr>
        <w:t>Introduction</w:t>
      </w:r>
    </w:p>
    <w:p>
      <w:pPr>
        <w:spacing w:before="120" w:after="120"/>
      </w:pPr>
      <w:r>
        <w:t>The SID of XR was approved in RAN #94</w:t>
      </w:r>
      <w:r>
        <w:rPr>
          <w:rFonts w:hint="eastAsia"/>
        </w:rPr>
        <w:t xml:space="preserve">. </w:t>
      </w:r>
      <w:r>
        <w:t xml:space="preserve">The objectives include </w:t>
      </w:r>
      <w:r>
        <w:rPr>
          <w:rFonts w:hint="eastAsia"/>
        </w:rPr>
        <w:t xml:space="preserve">enhancement techniques </w:t>
      </w:r>
      <w:r>
        <w:t>for</w:t>
      </w:r>
      <w:r>
        <w:rPr>
          <w:rFonts w:hint="eastAsia"/>
        </w:rPr>
        <w:t xml:space="preserve"> capacity and</w:t>
      </w:r>
      <w:r>
        <w:t xml:space="preserve"> power saving. </w:t>
      </w:r>
      <w:r>
        <w:rPr>
          <w:rFonts w:hint="eastAsia"/>
        </w:rPr>
        <w:t>In this contribution,</w:t>
      </w:r>
      <w:r>
        <w:t xml:space="preserve"> </w:t>
      </w:r>
      <w:r>
        <w:rPr>
          <w:rFonts w:hint="eastAsia"/>
        </w:rPr>
        <w:t xml:space="preserve">more </w:t>
      </w:r>
      <w:r>
        <w:t>potential issues/enhancements are discussed to support eXtended Reality traffic based on 5G-New Radio.</w:t>
      </w:r>
    </w:p>
    <w:p>
      <w:pPr>
        <w:pStyle w:val="2"/>
        <w:spacing w:before="120" w:after="120"/>
        <w:ind w:left="0"/>
      </w:pPr>
      <w:r>
        <w:rPr>
          <w:rFonts w:hint="eastAsia" w:ascii="Times New Roman" w:hAnsi="Times New Roman" w:eastAsia="宋体"/>
          <w:b/>
          <w:bCs/>
          <w:sz w:val="24"/>
          <w:szCs w:val="24"/>
        </w:rPr>
        <w:t>Potential enhancements</w:t>
      </w:r>
    </w:p>
    <w:p>
      <w:pPr>
        <w:pStyle w:val="3"/>
        <w:spacing w:before="120" w:after="120"/>
        <w:ind w:left="209" w:right="210" w:hanging="208" w:hangingChars="87"/>
      </w:pPr>
      <w:r>
        <w:rPr>
          <w:rFonts w:hint="eastAsia" w:ascii="Times New Roman" w:hAnsi="Times New Roman"/>
          <w:sz w:val="24"/>
          <w:szCs w:val="24"/>
        </w:rPr>
        <w:t>UE assistant information</w:t>
      </w:r>
      <w:bookmarkStart w:id="53" w:name="_GoBack"/>
      <w:bookmarkEnd w:id="53"/>
    </w:p>
    <w:p>
      <w:pPr>
        <w:widowControl w:val="0"/>
        <w:spacing w:before="120" w:after="120"/>
        <w:rPr>
          <w:szCs w:val="24"/>
        </w:rPr>
      </w:pPr>
      <w:r>
        <w:rPr>
          <w:rFonts w:hint="eastAsia"/>
          <w:szCs w:val="24"/>
        </w:rPr>
        <w:t>One of the most distinctive XR traffic is VR 360 video, which tile-based approach can be utilized for delivery [1]. The VR 360 video</w:t>
      </w:r>
      <w:r>
        <w:rPr>
          <w:rFonts w:hint="eastAsia"/>
          <w:color w:val="000000"/>
          <w:szCs w:val="24"/>
        </w:rPr>
        <w:t xml:space="preserve"> consists of</w:t>
      </w:r>
      <w:r>
        <w:rPr>
          <w:rFonts w:hint="eastAsia"/>
          <w:szCs w:val="24"/>
        </w:rPr>
        <w:t xml:space="preserve"> original 8K 360 </w:t>
      </w:r>
      <w:r>
        <w:rPr>
          <w:color w:val="000000"/>
          <w:szCs w:val="24"/>
        </w:rPr>
        <w:t xml:space="preserve">panoramic </w:t>
      </w:r>
      <w:r>
        <w:rPr>
          <w:rFonts w:hint="eastAsia"/>
          <w:color w:val="000000"/>
          <w:szCs w:val="24"/>
        </w:rPr>
        <w:t>video, most likely the combination of tiles, and a low resolution 4K 360 panoramic video. And this kind of traffic is identified as a multi-stream model, FoV/non-FoV streaming in RAN1</w:t>
      </w:r>
      <w:r>
        <w:rPr>
          <w:color w:val="000000"/>
          <w:szCs w:val="24"/>
        </w:rPr>
        <w:t>’</w:t>
      </w:r>
      <w:r>
        <w:rPr>
          <w:rFonts w:hint="eastAsia"/>
          <w:color w:val="000000"/>
          <w:szCs w:val="24"/>
        </w:rPr>
        <w:t xml:space="preserve">s perspective, wherein FoV streaming consist of multiple 8K 360 video tiles and non-FoV streaming is a low resolution 4K 360 panoramic video. It is obvious that the FoV streaming is characterized by high real-time requirement and strong user behavior correlation. Therefore, higher real-time requirements for 5G-New Radio has been put forward for supporting this kind of traffic. </w:t>
      </w:r>
    </w:p>
    <w:p>
      <w:pPr>
        <w:widowControl w:val="0"/>
        <w:spacing w:before="120" w:after="120"/>
        <w:rPr>
          <w:szCs w:val="24"/>
        </w:rPr>
      </w:pPr>
      <w:r>
        <w:rPr>
          <w:szCs w:val="24"/>
        </w:rPr>
        <w:t>According to parameters</w:t>
      </w:r>
      <w:r>
        <w:rPr>
          <w:rFonts w:hint="eastAsia"/>
          <w:szCs w:val="24"/>
        </w:rPr>
        <w:t xml:space="preserve"> of FoV/non-FoV streaming</w:t>
      </w:r>
      <w:r>
        <w:rPr>
          <w:szCs w:val="24"/>
        </w:rPr>
        <w:t xml:space="preserve"> [</w:t>
      </w:r>
      <w:r>
        <w:rPr>
          <w:rFonts w:hint="eastAsia"/>
          <w:szCs w:val="24"/>
        </w:rPr>
        <w:t>1</w:t>
      </w:r>
      <w:r>
        <w:rPr>
          <w:szCs w:val="24"/>
        </w:rPr>
        <w:t xml:space="preserve">], </w:t>
      </w:r>
      <w:r>
        <w:rPr>
          <w:rFonts w:hint="eastAsia"/>
          <w:szCs w:val="24"/>
        </w:rPr>
        <w:t>base station should transmit both FoV streaming and non-FoV streaming to UE, where the FoV streaming is the</w:t>
      </w:r>
      <w:r>
        <w:rPr>
          <w:szCs w:val="24"/>
        </w:rPr>
        <w:t xml:space="preserve"> 18 tiles based on the user’s viewpoint</w:t>
      </w:r>
      <w:r>
        <w:rPr>
          <w:rFonts w:hint="eastAsia"/>
          <w:szCs w:val="24"/>
        </w:rPr>
        <w:t xml:space="preserve"> generating the</w:t>
      </w:r>
      <w:r>
        <w:rPr>
          <w:szCs w:val="24"/>
        </w:rPr>
        <w:t xml:space="preserve"> corresponding FoV picture</w:t>
      </w:r>
      <w:r>
        <w:rPr>
          <w:rFonts w:hint="eastAsia"/>
          <w:szCs w:val="24"/>
        </w:rPr>
        <w:t>. According to [2], the FoV/non-FoV multi-stream model has the following types</w:t>
      </w:r>
      <w:r>
        <w:rPr>
          <w:szCs w:val="24"/>
        </w:rPr>
        <w:t xml:space="preserve"> as </w:t>
      </w:r>
      <w:r>
        <w:rPr>
          <w:rFonts w:hint="eastAsia"/>
          <w:szCs w:val="24"/>
        </w:rPr>
        <w:t>shown in Figure 1</w:t>
      </w:r>
      <w:r>
        <w:rPr>
          <w:szCs w:val="24"/>
        </w:rPr>
        <w:t xml:space="preserve"> </w:t>
      </w:r>
      <w:r>
        <w:rPr>
          <w:rFonts w:hint="eastAsia"/>
          <w:szCs w:val="24"/>
        </w:rPr>
        <w:t>and Figure 2</w:t>
      </w:r>
      <w:r>
        <w:rPr>
          <w:szCs w:val="24"/>
        </w:rPr>
        <w:t xml:space="preserve">. </w:t>
      </w:r>
    </w:p>
    <w:p>
      <w:pPr>
        <w:widowControl w:val="0"/>
        <w:spacing w:before="120" w:after="120"/>
        <w:jc w:val="center"/>
        <w:rPr>
          <w:szCs w:val="24"/>
        </w:rPr>
      </w:pPr>
      <w:r>
        <w:rPr>
          <w:rFonts w:hint="eastAsia"/>
          <w:szCs w:val="24"/>
        </w:rPr>
        <w:drawing>
          <wp:inline distT="0" distB="0" distL="114300" distR="114300">
            <wp:extent cx="4297045" cy="1516380"/>
            <wp:effectExtent l="0" t="0" r="8255" b="0"/>
            <wp:docPr id="6" name="图片 6" descr="FoV_Type2模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FoV_Type2模型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20741" cy="1525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spacing w:before="120" w:after="120"/>
        <w:jc w:val="center"/>
        <w:rPr>
          <w:szCs w:val="24"/>
        </w:rPr>
      </w:pPr>
      <w:r>
        <w:rPr>
          <w:rFonts w:hint="eastAsia"/>
          <w:szCs w:val="24"/>
        </w:rPr>
        <w:t>Figure. 1 Type-1 FoV/non-FoV multi-stream traffic model</w:t>
      </w:r>
    </w:p>
    <w:p>
      <w:pPr>
        <w:widowControl w:val="0"/>
        <w:spacing w:before="120" w:after="120"/>
        <w:jc w:val="center"/>
        <w:rPr>
          <w:szCs w:val="24"/>
        </w:rPr>
      </w:pPr>
      <w:r>
        <w:rPr>
          <w:szCs w:val="24"/>
        </w:rPr>
        <w:drawing>
          <wp:inline distT="0" distB="0" distL="114300" distR="114300">
            <wp:extent cx="2583815" cy="2171700"/>
            <wp:effectExtent l="0" t="0" r="0" b="0"/>
            <wp:docPr id="7" name="图片 7" descr="FoV_Type1模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FoV_Type1模型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01081" cy="2186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spacing w:before="120" w:after="120"/>
        <w:jc w:val="center"/>
        <w:rPr>
          <w:szCs w:val="24"/>
        </w:rPr>
      </w:pPr>
      <w:r>
        <w:rPr>
          <w:rFonts w:hint="eastAsia"/>
          <w:szCs w:val="24"/>
        </w:rPr>
        <w:t>Figure. 2 Type-2 FoV/non-FoV multi-stream traffic model</w:t>
      </w:r>
    </w:p>
    <w:p>
      <w:pPr>
        <w:widowControl w:val="0"/>
        <w:spacing w:before="120" w:after="120"/>
        <w:jc w:val="both"/>
      </w:pPr>
      <w:r>
        <w:rPr>
          <w:rFonts w:hint="eastAsia"/>
          <w:szCs w:val="24"/>
        </w:rPr>
        <w:t>In order to meet real-time requirements</w:t>
      </w:r>
      <w:r>
        <w:rPr>
          <w:szCs w:val="24"/>
        </w:rPr>
        <w:t xml:space="preserve">, UE should inform </w:t>
      </w:r>
      <w:r>
        <w:rPr>
          <w:rFonts w:hint="eastAsia"/>
          <w:szCs w:val="24"/>
        </w:rPr>
        <w:t xml:space="preserve">some of assistance information </w:t>
      </w:r>
      <w:r>
        <w:rPr>
          <w:szCs w:val="24"/>
        </w:rPr>
        <w:t xml:space="preserve">of user’s viewpoint to gNB for </w:t>
      </w:r>
      <w:r>
        <w:rPr>
          <w:rFonts w:hint="eastAsia"/>
          <w:szCs w:val="24"/>
        </w:rPr>
        <w:t>delivering</w:t>
      </w:r>
      <w:r>
        <w:rPr>
          <w:szCs w:val="24"/>
        </w:rPr>
        <w:t xml:space="preserve"> the corresponding FoV picture/message. </w:t>
      </w:r>
    </w:p>
    <w:p>
      <w:pPr>
        <w:widowControl w:val="0"/>
        <w:spacing w:before="120" w:after="120"/>
        <w:rPr>
          <w:szCs w:val="24"/>
        </w:rPr>
      </w:pPr>
      <w:r>
        <w:rPr>
          <w:szCs w:val="24"/>
        </w:rPr>
        <w:t>For example, the location/</w:t>
      </w:r>
      <w:r>
        <w:rPr>
          <w:rFonts w:hint="eastAsia"/>
        </w:rPr>
        <w:t xml:space="preserve"> orientation</w:t>
      </w:r>
      <w:r>
        <w:rPr>
          <w:szCs w:val="24"/>
        </w:rPr>
        <w:t xml:space="preserve"> /viewpoint information may be needed. Besides, other assistance information </w:t>
      </w:r>
      <w:r>
        <w:rPr>
          <w:rFonts w:hint="eastAsia"/>
          <w:szCs w:val="24"/>
        </w:rPr>
        <w:t>including e.g., data amount, periodicity and priority</w:t>
      </w:r>
      <w:r>
        <w:rPr>
          <w:szCs w:val="24"/>
        </w:rPr>
        <w:t xml:space="preserve"> are also considered [</w:t>
      </w:r>
      <w:r>
        <w:rPr>
          <w:rFonts w:hint="eastAsia"/>
          <w:szCs w:val="24"/>
        </w:rPr>
        <w:t>2</w:t>
      </w:r>
      <w:r>
        <w:rPr>
          <w:szCs w:val="24"/>
        </w:rPr>
        <w:t>]</w:t>
      </w:r>
      <w:r>
        <w:rPr>
          <w:rFonts w:hint="eastAsia"/>
          <w:szCs w:val="24"/>
        </w:rPr>
        <w:t>.</w:t>
      </w:r>
    </w:p>
    <w:p>
      <w:pPr>
        <w:pStyle w:val="39"/>
        <w:spacing w:before="120" w:after="120"/>
        <w:jc w:val="both"/>
        <w:rPr>
          <w:i w:val="0"/>
          <w:iCs w:val="0"/>
          <w:lang w:val="en-US" w:eastAsia="zh-CN"/>
        </w:rPr>
      </w:pPr>
      <w:bookmarkStart w:id="0" w:name="_Toc2342"/>
      <w:r>
        <w:rPr>
          <w:rFonts w:hint="eastAsia"/>
          <w:i w:val="0"/>
          <w:iCs w:val="0"/>
          <w:lang w:val="en-US" w:eastAsia="zh-CN"/>
        </w:rPr>
        <w:t>UE assistance information like, orientation information, data amount, periodicity and priority can be considered.</w:t>
      </w:r>
      <w:bookmarkEnd w:id="0"/>
    </w:p>
    <w:p>
      <w:pPr>
        <w:widowControl w:val="0"/>
        <w:spacing w:before="120" w:after="120"/>
        <w:rPr>
          <w:szCs w:val="24"/>
        </w:rPr>
      </w:pPr>
      <w:bookmarkStart w:id="1" w:name="_Toc25047"/>
      <w:bookmarkStart w:id="2" w:name="_Toc4166"/>
      <w:bookmarkStart w:id="3" w:name="_Toc83805060"/>
      <w:bookmarkStart w:id="4" w:name="_Toc2934"/>
      <w:bookmarkStart w:id="5" w:name="_Toc29441"/>
      <w:r>
        <w:rPr>
          <w:szCs w:val="24"/>
        </w:rPr>
        <w:t xml:space="preserve">In our view, enhanced SR/BSR can be considered to convey the assistance information without introducing additional reporting procedure/or signal. For instance, </w:t>
      </w:r>
      <w:r>
        <w:rPr>
          <w:rFonts w:hint="eastAsia"/>
          <w:szCs w:val="24"/>
        </w:rPr>
        <w:t xml:space="preserve">UEs </w:t>
      </w:r>
      <w:r>
        <w:rPr>
          <w:szCs w:val="24"/>
        </w:rPr>
        <w:t>can</w:t>
      </w:r>
      <w:r>
        <w:rPr>
          <w:rFonts w:hint="eastAsia"/>
          <w:szCs w:val="24"/>
        </w:rPr>
        <w:t xml:space="preserve"> provide orientation information through </w:t>
      </w:r>
      <w:r>
        <w:rPr>
          <w:szCs w:val="24"/>
        </w:rPr>
        <w:t>enhanced SR/</w:t>
      </w:r>
      <w:r>
        <w:rPr>
          <w:rFonts w:hint="eastAsia"/>
          <w:szCs w:val="24"/>
        </w:rPr>
        <w:t>BSR to assist DL transmission</w:t>
      </w:r>
      <w:r>
        <w:rPr>
          <w:szCs w:val="24"/>
        </w:rPr>
        <w:t>.</w:t>
      </w:r>
      <w:r>
        <w:rPr>
          <w:rFonts w:hint="eastAsia"/>
          <w:szCs w:val="24"/>
        </w:rPr>
        <w:t xml:space="preserve"> </w:t>
      </w:r>
      <w:bookmarkEnd w:id="1"/>
      <w:bookmarkEnd w:id="2"/>
      <w:bookmarkEnd w:id="3"/>
      <w:bookmarkEnd w:id="4"/>
      <w:bookmarkEnd w:id="5"/>
    </w:p>
    <w:p>
      <w:pPr>
        <w:pStyle w:val="39"/>
        <w:spacing w:before="120" w:after="120"/>
        <w:jc w:val="both"/>
        <w:rPr>
          <w:i w:val="0"/>
          <w:iCs w:val="0"/>
          <w:lang w:val="en-US" w:eastAsia="zh-CN"/>
        </w:rPr>
      </w:pPr>
      <w:bookmarkStart w:id="6" w:name="_Toc2006"/>
      <w:bookmarkStart w:id="7" w:name="_Toc30434"/>
      <w:bookmarkStart w:id="8" w:name="_Toc29964"/>
      <w:bookmarkStart w:id="9" w:name="_Toc21310"/>
      <w:bookmarkStart w:id="10" w:name="_Toc14077"/>
      <w:bookmarkStart w:id="11" w:name="_Toc25155"/>
      <w:bookmarkStart w:id="12" w:name="_Toc83805069"/>
      <w:bookmarkStart w:id="13" w:name="_Toc16548"/>
      <w:bookmarkStart w:id="14" w:name="_Toc15476"/>
      <w:r>
        <w:rPr>
          <w:rFonts w:hint="eastAsia"/>
          <w:i w:val="0"/>
          <w:iCs w:val="0"/>
          <w:lang w:val="en-US" w:eastAsia="zh-CN"/>
        </w:rPr>
        <w:t>Enhanced SR/BSR can be considered to convey the assistance information</w:t>
      </w:r>
      <w:bookmarkEnd w:id="6"/>
      <w:r>
        <w:rPr>
          <w:rFonts w:hint="eastAsia"/>
          <w:i w:val="0"/>
          <w:iCs w:val="0"/>
          <w:lang w:val="en-US" w:eastAsia="zh-CN"/>
        </w:rPr>
        <w:t xml:space="preserve"> 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p>
      <w:pPr>
        <w:pStyle w:val="3"/>
        <w:spacing w:before="120" w:after="120"/>
        <w:ind w:left="209" w:right="210" w:hanging="208" w:hangingChars="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UL power saving schemes</w:t>
      </w:r>
    </w:p>
    <w:p>
      <w:pPr>
        <w:pStyle w:val="4"/>
        <w:spacing w:after="120" w:line="260" w:lineRule="auto"/>
        <w:ind w:left="425" w:right="210" w:hanging="424" w:hangingChars="17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Issue</w:t>
      </w:r>
    </w:p>
    <w:p>
      <w:pPr>
        <w:spacing w:before="120" w:after="120"/>
      </w:pPr>
      <w:r>
        <w:t>The UL</w:t>
      </w:r>
      <w:r>
        <w:rPr>
          <w:rFonts w:hint="eastAsia"/>
        </w:rPr>
        <w:t xml:space="preserve"> </w:t>
      </w:r>
      <w:r>
        <w:t xml:space="preserve">signals/data </w:t>
      </w:r>
      <w:r>
        <w:rPr>
          <w:rFonts w:hint="eastAsia"/>
        </w:rPr>
        <w:t xml:space="preserve">(e.g., CSI report, HARQ ACK, UL data, etc) </w:t>
      </w:r>
      <w:r>
        <w:t xml:space="preserve">consume power continuously with UE’s modems on, if the transmission occasions of mentioned UL signals/data are TDM-ed. </w:t>
      </w:r>
    </w:p>
    <w:p>
      <w:pPr>
        <w:pStyle w:val="4"/>
        <w:spacing w:after="120" w:line="260" w:lineRule="auto"/>
        <w:ind w:left="425" w:right="210" w:hanging="424" w:hangingChars="17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Solutions</w:t>
      </w:r>
    </w:p>
    <w:p>
      <w:pPr>
        <w:numPr>
          <w:ilvl w:val="0"/>
          <w:numId w:val="8"/>
        </w:numPr>
        <w:spacing w:before="120" w:after="120"/>
      </w:pPr>
      <w:r>
        <w:rPr>
          <w:rFonts w:hint="eastAsia"/>
        </w:rPr>
        <w:t>UL active time</w:t>
      </w:r>
    </w:p>
    <w:p>
      <w:pPr>
        <w:spacing w:before="120" w:after="120"/>
      </w:pPr>
      <w:r>
        <w:rPr>
          <w:rFonts w:hint="eastAsia"/>
        </w:rPr>
        <w:t xml:space="preserve">If the transmission of UL </w:t>
      </w:r>
      <w:r>
        <w:t xml:space="preserve">signals/data </w:t>
      </w:r>
      <w:r>
        <w:rPr>
          <w:rFonts w:hint="eastAsia"/>
        </w:rPr>
        <w:t xml:space="preserve">can be </w:t>
      </w:r>
      <w:r>
        <w:t>confined</w:t>
      </w:r>
      <w:r>
        <w:rPr>
          <w:rFonts w:hint="eastAsia"/>
        </w:rPr>
        <w:t xml:space="preserve"> </w:t>
      </w:r>
      <w:r>
        <w:t>within</w:t>
      </w:r>
      <w:r>
        <w:rPr>
          <w:rFonts w:hint="eastAsia"/>
        </w:rPr>
        <w:t xml:space="preserve"> a period of time, the</w:t>
      </w:r>
      <w:r>
        <w:t xml:space="preserve"> UL</w:t>
      </w:r>
      <w:r>
        <w:rPr>
          <w:rFonts w:hint="eastAsia"/>
        </w:rPr>
        <w:t xml:space="preserve"> transmission occasion may be reduced and UE is more likely to go to a deeper sleep. Hence, an UL active time similar </w:t>
      </w:r>
      <w:r>
        <w:t>as</w:t>
      </w:r>
      <w:r>
        <w:rPr>
          <w:rFonts w:hint="eastAsia"/>
        </w:rPr>
        <w:t xml:space="preserve"> the configuration of DRX is proposed. The UL active time stipulate</w:t>
      </w:r>
      <w:r>
        <w:t>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time duration when UE can transmit </w:t>
      </w:r>
      <w:r>
        <w:t>signals/data. And</w:t>
      </w:r>
      <w:r>
        <w:rPr>
          <w:rFonts w:hint="eastAsia"/>
        </w:rPr>
        <w:t xml:space="preserve"> UE </w:t>
      </w:r>
      <w:r>
        <w:t>is not expected to</w:t>
      </w:r>
      <w:r>
        <w:rPr>
          <w:rFonts w:hint="eastAsia"/>
        </w:rPr>
        <w:t xml:space="preserve"> </w:t>
      </w:r>
      <w:r>
        <w:t>perform</w:t>
      </w:r>
      <w:r>
        <w:rPr>
          <w:rFonts w:hint="eastAsia"/>
        </w:rPr>
        <w:t xml:space="preserve"> UL </w:t>
      </w:r>
      <w:r>
        <w:t>transmission</w:t>
      </w:r>
      <w:r>
        <w:rPr>
          <w:rFonts w:hint="eastAsia"/>
        </w:rPr>
        <w:t xml:space="preserve"> outside the active time. The UL active time can also </w:t>
      </w:r>
      <w:r>
        <w:t xml:space="preserve">be </w:t>
      </w:r>
      <w:r>
        <w:rPr>
          <w:rFonts w:hint="eastAsia"/>
        </w:rPr>
        <w:t xml:space="preserve">configured </w:t>
      </w:r>
      <w:r>
        <w:t xml:space="preserve">and </w:t>
      </w:r>
      <w:r>
        <w:rPr>
          <w:rFonts w:hint="eastAsia"/>
        </w:rPr>
        <w:t>associate</w:t>
      </w:r>
      <w:r>
        <w:t>d</w:t>
      </w:r>
      <w:r>
        <w:rPr>
          <w:rFonts w:hint="eastAsia"/>
        </w:rPr>
        <w:t xml:space="preserve"> with DRX, for example, the UL active time is configured near to the DRX active time. This is helpful </w:t>
      </w:r>
      <w:r>
        <w:t>to achieve</w:t>
      </w:r>
      <w:r>
        <w:rPr>
          <w:rFonts w:hint="eastAsia"/>
        </w:rPr>
        <w:t xml:space="preserve"> DL and UL alignment. </w:t>
      </w:r>
    </w:p>
    <w:p>
      <w:pPr>
        <w:numPr>
          <w:ilvl w:val="0"/>
          <w:numId w:val="8"/>
        </w:numPr>
        <w:spacing w:before="120" w:after="120"/>
      </w:pPr>
      <w:r>
        <w:rPr>
          <w:rFonts w:hint="eastAsia"/>
        </w:rPr>
        <w:t>SR group switching</w:t>
      </w:r>
    </w:p>
    <w:p>
      <w:pPr>
        <w:spacing w:before="120" w:after="120"/>
      </w:pPr>
      <w:r>
        <w:rPr>
          <w:rFonts w:hint="eastAsia"/>
        </w:rPr>
        <w:t>The method similar as SSSG switching can be considered to reduce the transmission occasion of SR and without increas</w:t>
      </w:r>
      <w:r>
        <w:t>ing</w:t>
      </w:r>
      <w:r>
        <w:rPr>
          <w:rFonts w:hint="eastAsia"/>
        </w:rPr>
        <w:t xml:space="preserve"> much latency. </w:t>
      </w:r>
    </w:p>
    <w:p>
      <w:pPr>
        <w:spacing w:before="120" w:after="120"/>
      </w:pPr>
      <w:r>
        <w:rPr>
          <w:rFonts w:hint="eastAsia"/>
        </w:rPr>
        <w:t>The SR transmi</w:t>
      </w:r>
      <w:r>
        <w:t>ssion</w:t>
      </w:r>
      <w:r>
        <w:rPr>
          <w:rFonts w:hint="eastAsia"/>
        </w:rPr>
        <w:t xml:space="preserve"> occasion is determined by SR resource configuration which includes a periodicity and </w:t>
      </w:r>
      <w:r>
        <w:t xml:space="preserve">an </w:t>
      </w:r>
      <w:r>
        <w:rPr>
          <w:rFonts w:hint="eastAsia"/>
        </w:rPr>
        <w:t>offset. To align the DL packet transmission, a dense SR resource can be used during DL packet burst time and a sparse SR resource can be used after DL packet burst as shown in Figure 3.</w:t>
      </w:r>
    </w:p>
    <w:p>
      <w:pPr>
        <w:spacing w:before="120" w:after="120"/>
        <w:jc w:val="center"/>
      </w:pPr>
      <w:r>
        <w:drawing>
          <wp:inline distT="0" distB="0" distL="114300" distR="114300">
            <wp:extent cx="5147310" cy="1753235"/>
            <wp:effectExtent l="0" t="0" r="15240" b="184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47310" cy="175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20" w:after="120"/>
        <w:jc w:val="center"/>
      </w:pPr>
      <w:r>
        <w:rPr>
          <w:rFonts w:hint="eastAsia"/>
        </w:rPr>
        <w:t>Figure. 3 Switch SR group according to DL packet burst</w:t>
      </w:r>
    </w:p>
    <w:p>
      <w:pPr>
        <w:pStyle w:val="39"/>
        <w:spacing w:before="120" w:after="120"/>
        <w:jc w:val="both"/>
        <w:rPr>
          <w:i w:val="0"/>
          <w:iCs w:val="0"/>
          <w:lang w:val="en-US" w:eastAsia="zh-CN"/>
        </w:rPr>
      </w:pPr>
      <w:bookmarkStart w:id="15" w:name="_Toc21711"/>
      <w:bookmarkStart w:id="16" w:name="_Toc19427"/>
      <w:bookmarkStart w:id="17" w:name="_Toc16835"/>
      <w:bookmarkStart w:id="18" w:name="_Toc21285"/>
      <w:bookmarkStart w:id="19" w:name="_Toc29247"/>
      <w:bookmarkStart w:id="20" w:name="_Toc26788"/>
      <w:bookmarkStart w:id="21" w:name="_Toc83805076"/>
      <w:bookmarkStart w:id="22" w:name="_Toc28375"/>
      <w:r>
        <w:rPr>
          <w:i w:val="0"/>
          <w:iCs w:val="0"/>
          <w:lang w:val="en-US" w:eastAsia="zh-CN"/>
        </w:rPr>
        <w:t>An UL active time used to confine the UL transmission can be considered for UL power saving.</w:t>
      </w:r>
      <w:bookmarkEnd w:id="15"/>
    </w:p>
    <w:p>
      <w:pPr>
        <w:pStyle w:val="39"/>
        <w:spacing w:before="120" w:after="120"/>
        <w:jc w:val="both"/>
        <w:rPr>
          <w:i w:val="0"/>
          <w:iCs w:val="0"/>
          <w:lang w:val="en-US" w:eastAsia="zh-CN"/>
        </w:rPr>
      </w:pPr>
      <w:bookmarkStart w:id="23" w:name="_Toc8316"/>
      <w:r>
        <w:rPr>
          <w:rFonts w:hint="eastAsia"/>
          <w:i w:val="0"/>
          <w:iCs w:val="0"/>
          <w:lang w:val="en-US" w:eastAsia="zh-CN"/>
        </w:rPr>
        <w:t>SR resource switching can be considered for uplink power saving.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pPr>
        <w:pStyle w:val="39"/>
        <w:numPr>
          <w:ilvl w:val="255"/>
          <w:numId w:val="0"/>
        </w:numPr>
        <w:spacing w:before="120" w:after="120"/>
        <w:rPr>
          <w:lang w:val="en-US" w:eastAsia="zh-CN"/>
        </w:rPr>
      </w:pPr>
    </w:p>
    <w:p>
      <w:pPr>
        <w:pStyle w:val="2"/>
        <w:spacing w:before="120" w:after="120"/>
        <w:ind w:left="0"/>
        <w:rPr>
          <w:rFonts w:ascii="Times New Roman" w:hAnsi="Times New Roman"/>
          <w:sz w:val="21"/>
        </w:rPr>
      </w:pPr>
      <w:r>
        <w:rPr>
          <w:rFonts w:hint="eastAsia" w:ascii="Times New Roman" w:hAnsi="Times New Roman" w:eastAsia="宋体"/>
          <w:b/>
          <w:bCs/>
          <w:sz w:val="24"/>
          <w:szCs w:val="24"/>
        </w:rPr>
        <w:t>Evaluation results</w:t>
      </w:r>
    </w:p>
    <w:p>
      <w:pPr>
        <w:spacing w:before="120" w:after="120"/>
      </w:pPr>
      <w:r>
        <w:rPr>
          <w:rFonts w:hint="eastAsia"/>
        </w:rPr>
        <w:t>In this section, some UL power saving schemes are evaluated. Only uplink traffic is considered.</w:t>
      </w:r>
    </w:p>
    <w:p>
      <w:pPr>
        <w:spacing w:before="120" w:after="120"/>
        <w:rPr>
          <w:rFonts w:eastAsiaTheme="minorEastAsia"/>
        </w:rPr>
      </w:pPr>
      <w:r>
        <w:rPr>
          <w:rFonts w:hint="eastAsia"/>
        </w:rPr>
        <w:t>I</w:t>
      </w:r>
      <w:r>
        <w:rPr>
          <w:rFonts w:eastAsiaTheme="minorEastAsia"/>
        </w:rPr>
        <w:t xml:space="preserve">n line with the </w:t>
      </w:r>
      <w:r>
        <w:rPr>
          <w:rFonts w:hint="eastAsia" w:eastAsiaTheme="minorEastAsia"/>
        </w:rPr>
        <w:t>previous</w:t>
      </w:r>
      <w:r>
        <w:rPr>
          <w:rFonts w:eastAsiaTheme="minorEastAsia"/>
        </w:rPr>
        <w:t xml:space="preserve"> meetings’ agreement, the following assumptions are adopted in the evaluation of power consumption.</w:t>
      </w:r>
    </w:p>
    <w:p>
      <w:pPr>
        <w:numPr>
          <w:ilvl w:val="0"/>
          <w:numId w:val="9"/>
        </w:numPr>
        <w:spacing w:before="120" w:after="120" w:line="256" w:lineRule="auto"/>
      </w:pPr>
      <w:r>
        <w:rPr>
          <w:rFonts w:hint="eastAsia"/>
        </w:rPr>
        <w:t xml:space="preserve">Both linear interpolation method and </w:t>
      </w:r>
      <w:r>
        <w:t xml:space="preserve">step function with </w:t>
      </w:r>
      <w:r>
        <w:rPr>
          <w:rFonts w:hint="eastAsia"/>
        </w:rPr>
        <w:t xml:space="preserve">only two </w:t>
      </w:r>
      <w:r>
        <w:t xml:space="preserve">transmission </w:t>
      </w:r>
      <w:r>
        <w:rPr>
          <w:rFonts w:hint="eastAsia"/>
        </w:rPr>
        <w:t>power values are used to count UL power</w:t>
      </w:r>
      <w:r>
        <w:t xml:space="preserve"> consumption</w:t>
      </w:r>
      <w:r>
        <w:rPr>
          <w:rFonts w:hint="eastAsia"/>
        </w:rPr>
        <w:t>.</w:t>
      </w:r>
    </w:p>
    <w:p>
      <w:pPr>
        <w:numPr>
          <w:ilvl w:val="1"/>
          <w:numId w:val="9"/>
        </w:numPr>
        <w:spacing w:before="120" w:after="120" w:line="256" w:lineRule="auto"/>
      </w:pPr>
      <w:r>
        <w:rPr>
          <w:rFonts w:hint="eastAsia"/>
        </w:rPr>
        <w:t>Linear interpolation method: the power of UL slot is calculated according to the following function:</w:t>
      </w:r>
    </w:p>
    <w:p>
      <w:pPr>
        <w:spacing w:before="120" w:after="120"/>
        <w:ind w:left="420" w:firstLine="420"/>
      </w:pPr>
      <w:r>
        <w:rPr>
          <w:rFonts w:hint="eastAsia"/>
          <w:position w:val="-22"/>
        </w:rPr>
        <w:object>
          <v:shape id="_x0000_i1025" o:spt="75" type="#_x0000_t75" style="height:27.15pt;width:177.3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3">
            <o:LockedField>false</o:LockedField>
          </o:OLEObject>
        </w:object>
      </w:r>
    </w:p>
    <w:p>
      <w:pPr>
        <w:spacing w:before="120" w:after="120"/>
        <w:ind w:left="420" w:firstLine="420"/>
      </w:pPr>
      <w:r>
        <w:rPr>
          <w:rFonts w:hint="eastAsia"/>
        </w:rPr>
        <w:t xml:space="preserve">Tx_power is the </w:t>
      </w:r>
      <w:r>
        <w:t>Tx power values</w:t>
      </w:r>
      <w:r>
        <w:rPr>
          <w:rFonts w:hint="eastAsia"/>
        </w:rPr>
        <w:t xml:space="preserve"> in one slot.</w:t>
      </w:r>
    </w:p>
    <w:p>
      <w:pPr>
        <w:numPr>
          <w:ilvl w:val="1"/>
          <w:numId w:val="9"/>
        </w:numPr>
        <w:spacing w:before="120" w:after="120" w:line="256" w:lineRule="auto"/>
      </w:pPr>
      <w:r>
        <w:t xml:space="preserve">Step function: power number is given as A for X= [0, M]dBm and B for X =[M, 23]dBm, where A and B (defined in 38.840) correspond to power consumption numbers for a given uplink slot for 0dBm and 23dBm respectively, </w:t>
      </w:r>
      <w:r>
        <w:rPr>
          <w:rFonts w:hint="eastAsia"/>
        </w:rPr>
        <w:t xml:space="preserve">M=20dBm </w:t>
      </w:r>
    </w:p>
    <w:p>
      <w:pPr>
        <w:numPr>
          <w:ilvl w:val="0"/>
          <w:numId w:val="9"/>
        </w:numPr>
        <w:spacing w:before="120" w:after="120" w:line="256" w:lineRule="auto"/>
      </w:pPr>
      <w:r>
        <w:rPr>
          <w:rFonts w:hint="eastAsia"/>
        </w:rPr>
        <w:t>Using the power model of 0 dBm for UE with transmission power less than 0 dBm.</w:t>
      </w:r>
    </w:p>
    <w:p>
      <w:pPr>
        <w:numPr>
          <w:ilvl w:val="0"/>
          <w:numId w:val="9"/>
        </w:numPr>
        <w:spacing w:before="120" w:after="120" w:line="256" w:lineRule="auto"/>
      </w:pPr>
      <w:r>
        <w:rPr>
          <w:rFonts w:hint="eastAsia"/>
        </w:rPr>
        <w:t xml:space="preserve">The same number of UE per cell </w:t>
      </w:r>
      <w:r>
        <w:t>is</w:t>
      </w:r>
      <w:r>
        <w:rPr>
          <w:rFonts w:hint="eastAsia"/>
        </w:rPr>
        <w:t xml:space="preserve"> used in baseline and power saving schemes</w:t>
      </w:r>
      <w:r>
        <w:t>,</w:t>
      </w:r>
      <w:r>
        <w:rPr>
          <w:rFonts w:hint="eastAsia"/>
        </w:rPr>
        <w:t xml:space="preserve"> and the results </w:t>
      </w:r>
      <w:r>
        <w:t>for</w:t>
      </w:r>
      <w:r>
        <w:rPr>
          <w:rFonts w:hint="eastAsia"/>
        </w:rPr>
        <w:t xml:space="preserve"> baseline capacity are reported.</w:t>
      </w:r>
    </w:p>
    <w:p>
      <w:pPr>
        <w:numPr>
          <w:ilvl w:val="0"/>
          <w:numId w:val="9"/>
        </w:numPr>
        <w:spacing w:before="120" w:after="120" w:line="256" w:lineRule="auto"/>
      </w:pPr>
      <w:r>
        <w:rPr>
          <w:rFonts w:hint="eastAsia"/>
        </w:rPr>
        <w:t xml:space="preserve">The power consumption of CSI </w:t>
      </w:r>
      <w:r>
        <w:t xml:space="preserve">reporting </w:t>
      </w:r>
      <w:r>
        <w:rPr>
          <w:rFonts w:hint="eastAsia"/>
        </w:rPr>
        <w:t xml:space="preserve">and SRS </w:t>
      </w:r>
      <w:r>
        <w:t>transmission is</w:t>
      </w:r>
      <w:r>
        <w:rPr>
          <w:rFonts w:hint="eastAsia"/>
        </w:rPr>
        <w:t xml:space="preserve"> not considered. The simulation parameter and power models are shown in Appendix.</w:t>
      </w:r>
    </w:p>
    <w:p>
      <w:pPr>
        <w:pStyle w:val="45"/>
        <w:numPr>
          <w:ilvl w:val="255"/>
          <w:numId w:val="0"/>
        </w:numPr>
        <w:spacing w:before="120" w:after="120" w:line="256" w:lineRule="auto"/>
        <w:rPr>
          <w:rFonts w:eastAsiaTheme="minorEastAsia"/>
          <w:sz w:val="20"/>
          <w:szCs w:val="20"/>
        </w:rPr>
      </w:pPr>
    </w:p>
    <w:p>
      <w:pPr>
        <w:pStyle w:val="3"/>
        <w:spacing w:before="120" w:after="120"/>
        <w:ind w:left="209" w:right="210" w:hanging="208" w:hangingChars="87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UL active time</w:t>
      </w:r>
    </w:p>
    <w:p>
      <w:pPr>
        <w:spacing w:before="120" w:after="120"/>
      </w:pPr>
      <w:r>
        <w:rPr>
          <w:rFonts w:hint="eastAsia"/>
        </w:rPr>
        <w:t>In this section, pose/control signal is transmitted according to configure</w:t>
      </w:r>
      <w:r>
        <w:t>d</w:t>
      </w:r>
      <w:r>
        <w:rPr>
          <w:rFonts w:hint="eastAsia"/>
        </w:rPr>
        <w:t xml:space="preserve"> grant </w:t>
      </w:r>
      <w:r>
        <w:t xml:space="preserve">(CG) </w:t>
      </w:r>
      <w:r>
        <w:rPr>
          <w:rFonts w:hint="eastAsia"/>
        </w:rPr>
        <w:t>scheduling. The periodicity of configure</w:t>
      </w:r>
      <w:r>
        <w:t>d</w:t>
      </w:r>
      <w:r>
        <w:rPr>
          <w:rFonts w:hint="eastAsia"/>
        </w:rPr>
        <w:t xml:space="preserve"> grant is set as 2.5ms. The following schemes are evaluated:  </w:t>
      </w:r>
    </w:p>
    <w:p>
      <w:pPr>
        <w:widowControl w:val="0"/>
        <w:numPr>
          <w:ilvl w:val="0"/>
          <w:numId w:val="10"/>
        </w:numPr>
        <w:spacing w:before="120" w:after="120"/>
      </w:pPr>
      <w:r>
        <w:rPr>
          <w:rFonts w:hint="eastAsia"/>
        </w:rPr>
        <w:t>Baseline: UL</w:t>
      </w:r>
      <w:r>
        <w:t xml:space="preserve"> is set as</w:t>
      </w:r>
      <w:r>
        <w:rPr>
          <w:rFonts w:hint="eastAsia"/>
        </w:rPr>
        <w:t xml:space="preserve"> always on. It means UE can transmit PUSCH at every CG occasion</w:t>
      </w:r>
      <w:r>
        <w:t xml:space="preserve"> if needed</w:t>
      </w:r>
      <w:r>
        <w:rPr>
          <w:rFonts w:hint="eastAsia"/>
        </w:rPr>
        <w:t>. DL slots are considered as sleep</w:t>
      </w:r>
      <w:r>
        <w:t>ing</w:t>
      </w:r>
      <w:r>
        <w:rPr>
          <w:rFonts w:hint="eastAsia"/>
        </w:rPr>
        <w:t xml:space="preserve"> slot</w:t>
      </w:r>
      <w:r>
        <w:t>s</w:t>
      </w:r>
      <w:r>
        <w:rPr>
          <w:rFonts w:hint="eastAsia"/>
        </w:rPr>
        <w:t>.</w:t>
      </w:r>
    </w:p>
    <w:p>
      <w:pPr>
        <w:widowControl w:val="0"/>
        <w:numPr>
          <w:ilvl w:val="0"/>
          <w:numId w:val="10"/>
        </w:numPr>
        <w:spacing w:before="120" w:after="120"/>
      </w:pPr>
      <w:r>
        <w:rPr>
          <w:rFonts w:hint="eastAsia"/>
        </w:rPr>
        <w:t xml:space="preserve">UL active time: The pose/control signal can be transmitted within a UL active time. </w:t>
      </w:r>
      <w:r>
        <w:t xml:space="preserve">The configuration of </w:t>
      </w:r>
      <w:r>
        <w:rPr>
          <w:rFonts w:hint="eastAsia"/>
        </w:rPr>
        <w:t>UL active time is shown in Figure 4. The cycle of UL active time is 8ms and the duration of UL active time is 4ms/3ms. DL slots are considered as sleep</w:t>
      </w:r>
      <w:r>
        <w:t>ing</w:t>
      </w:r>
      <w:r>
        <w:rPr>
          <w:rFonts w:hint="eastAsia"/>
        </w:rPr>
        <w:t xml:space="preserve"> slot</w:t>
      </w:r>
      <w:r>
        <w:t>s</w:t>
      </w:r>
      <w:r>
        <w:rPr>
          <w:rFonts w:hint="eastAsia"/>
        </w:rPr>
        <w:t>.</w:t>
      </w:r>
    </w:p>
    <w:p>
      <w:pPr>
        <w:spacing w:before="120" w:after="120"/>
        <w:jc w:val="center"/>
      </w:pPr>
      <w:r>
        <w:drawing>
          <wp:inline distT="0" distB="0" distL="114300" distR="114300">
            <wp:extent cx="4826635" cy="1265555"/>
            <wp:effectExtent l="0" t="0" r="12065" b="1079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26635" cy="126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20" w:after="120"/>
        <w:jc w:val="center"/>
      </w:pPr>
      <w:r>
        <w:rPr>
          <w:rFonts w:hint="eastAsia"/>
        </w:rPr>
        <w:t xml:space="preserve">Figure 4 Illustration of UL active time </w:t>
      </w:r>
    </w:p>
    <w:p>
      <w:pPr>
        <w:pStyle w:val="4"/>
        <w:spacing w:after="120" w:line="260" w:lineRule="auto"/>
        <w:ind w:left="425" w:right="210" w:hanging="424" w:hangingChars="177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FR1 InH UL</w:t>
      </w:r>
    </w:p>
    <w:p>
      <w:pPr>
        <w:spacing w:before="120" w:after="120" w:line="256" w:lineRule="auto"/>
        <w:jc w:val="center"/>
      </w:pPr>
      <w:r>
        <w:rPr>
          <w:rFonts w:hint="eastAsia"/>
          <w:szCs w:val="22"/>
        </w:rPr>
        <w:t xml:space="preserve">Table 1 </w:t>
      </w:r>
      <w:r>
        <w:t xml:space="preserve">FR1 power consumption results in Indoor Hotspot scenario </w:t>
      </w:r>
      <w:r>
        <w:rPr>
          <w:rFonts w:hint="eastAsia"/>
        </w:rPr>
        <w:t>(pose/control)</w:t>
      </w:r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1864"/>
        <w:gridCol w:w="1040"/>
        <w:gridCol w:w="1152"/>
        <w:gridCol w:w="1652"/>
        <w:gridCol w:w="1414"/>
        <w:gridCol w:w="1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396" w:type="dxa"/>
            <w:vMerge w:val="restart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rFonts w:eastAsia="Times New Roman"/>
                <w:b/>
                <w:kern w:val="0"/>
                <w:sz w:val="18"/>
                <w:szCs w:val="18"/>
              </w:rPr>
            </w:pPr>
            <w:r>
              <w:rPr>
                <w:rFonts w:hint="eastAsia" w:eastAsia="Times New Roman"/>
                <w:b/>
                <w:kern w:val="0"/>
                <w:sz w:val="18"/>
                <w:szCs w:val="18"/>
              </w:rPr>
              <w:t>Application</w:t>
            </w:r>
          </w:p>
        </w:tc>
        <w:tc>
          <w:tcPr>
            <w:tcW w:w="1864" w:type="dxa"/>
            <w:vMerge w:val="restart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 w:eastAsia="Times New Roman"/>
                <w:b/>
                <w:kern w:val="0"/>
                <w:sz w:val="18"/>
                <w:szCs w:val="18"/>
              </w:rPr>
              <w:t>Scheme</w:t>
            </w:r>
          </w:p>
        </w:tc>
        <w:tc>
          <w:tcPr>
            <w:tcW w:w="1040" w:type="dxa"/>
            <w:vMerge w:val="restart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 w:line="276" w:lineRule="auto"/>
              <w:jc w:val="center"/>
              <w:rPr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avg # UEs/ cell = N1</w:t>
            </w:r>
          </w:p>
        </w:tc>
        <w:tc>
          <w:tcPr>
            <w:tcW w:w="1152" w:type="dxa"/>
            <w:vMerge w:val="restart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 w:line="276" w:lineRule="auto"/>
              <w:jc w:val="center"/>
              <w:rPr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C1=floor(Capacity)</w:t>
            </w:r>
          </w:p>
        </w:tc>
        <w:tc>
          <w:tcPr>
            <w:tcW w:w="1652" w:type="dxa"/>
            <w:vMerge w:val="restart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 w:line="276" w:lineRule="auto"/>
              <w:jc w:val="center"/>
              <w:rPr>
                <w:rFonts w:eastAsia="Times New Roman"/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% of satisfied UEs when #UEs/cell = N1</w:t>
            </w:r>
          </w:p>
        </w:tc>
        <w:tc>
          <w:tcPr>
            <w:tcW w:w="2422" w:type="dxa"/>
            <w:gridSpan w:val="2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 w:line="276" w:lineRule="auto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Average PS gain 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396" w:type="dxa"/>
            <w:vMerge w:val="continue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 w:line="276" w:lineRule="auto"/>
              <w:jc w:val="center"/>
            </w:pPr>
          </w:p>
        </w:tc>
        <w:tc>
          <w:tcPr>
            <w:tcW w:w="1864" w:type="dxa"/>
            <w:vMerge w:val="continue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 w:line="276" w:lineRule="auto"/>
              <w:jc w:val="center"/>
            </w:pPr>
          </w:p>
        </w:tc>
        <w:tc>
          <w:tcPr>
            <w:tcW w:w="1040" w:type="dxa"/>
            <w:vMerge w:val="continue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 w:line="276" w:lineRule="auto"/>
              <w:jc w:val="center"/>
            </w:pPr>
          </w:p>
        </w:tc>
        <w:tc>
          <w:tcPr>
            <w:tcW w:w="1152" w:type="dxa"/>
            <w:vMerge w:val="continue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 w:line="276" w:lineRule="auto"/>
              <w:jc w:val="center"/>
            </w:pPr>
          </w:p>
        </w:tc>
        <w:tc>
          <w:tcPr>
            <w:tcW w:w="1652" w:type="dxa"/>
            <w:vMerge w:val="continue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 w:line="276" w:lineRule="auto"/>
              <w:jc w:val="center"/>
            </w:pPr>
          </w:p>
        </w:tc>
        <w:tc>
          <w:tcPr>
            <w:tcW w:w="1414" w:type="dxa"/>
            <w:shd w:val="clear" w:color="auto" w:fill="F1F1F1" w:themeFill="background1" w:themeFillShade="F2"/>
            <w:vAlign w:val="center"/>
          </w:tcPr>
          <w:p>
            <w:pPr>
              <w:pStyle w:val="81"/>
              <w:widowControl w:val="0"/>
              <w:spacing w:before="0" w:beforeLines="0" w:after="0" w:afterLines="0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</w:rPr>
              <w:t>L</w:t>
            </w:r>
            <w:r>
              <w:rPr>
                <w:rFonts w:hint="eastAsia" w:ascii="Times New Roman" w:hAnsi="Times New Roman" w:cs="Times New Roman"/>
                <w:sz w:val="20"/>
              </w:rPr>
              <w:t>inear</w:t>
            </w:r>
            <w:r>
              <w:rPr>
                <w:rFonts w:ascii="Times New Roman" w:hAnsi="Times New Roman" w:cs="Times New Roman"/>
                <w:sz w:val="20"/>
              </w:rPr>
              <w:t xml:space="preserve"> interpolation</w:t>
            </w:r>
          </w:p>
        </w:tc>
        <w:tc>
          <w:tcPr>
            <w:tcW w:w="1008" w:type="dxa"/>
            <w:shd w:val="clear" w:color="auto" w:fill="F1F1F1" w:themeFill="background1" w:themeFillShade="F2"/>
            <w:vAlign w:val="center"/>
          </w:tcPr>
          <w:p>
            <w:pPr>
              <w:pStyle w:val="81"/>
              <w:widowControl w:val="0"/>
              <w:spacing w:before="0" w:beforeLines="0" w:after="0" w:afterLines="0"/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S</w:t>
            </w:r>
            <w:r>
              <w:rPr>
                <w:rFonts w:hint="eastAsia" w:ascii="Times New Roman" w:hAnsi="Times New Roman" w:cs="Times New Roman"/>
                <w:sz w:val="20"/>
              </w:rPr>
              <w:t>tep</w:t>
            </w:r>
            <w:r>
              <w:rPr>
                <w:rFonts w:ascii="Times New Roman" w:hAnsi="Times New Roman" w:cs="Times New Roman"/>
                <w:sz w:val="20"/>
              </w:rPr>
              <w:t xml:space="preserve"> function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Merge w:val="restart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UL: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pose/control</w:t>
            </w:r>
          </w:p>
        </w:tc>
        <w:tc>
          <w:tcPr>
            <w:tcW w:w="1864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Baseline</w:t>
            </w:r>
          </w:p>
        </w:tc>
        <w:tc>
          <w:tcPr>
            <w:tcW w:w="1040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1152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652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100%</w:t>
            </w:r>
          </w:p>
        </w:tc>
        <w:tc>
          <w:tcPr>
            <w:tcW w:w="1414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/</w:t>
            </w:r>
          </w:p>
        </w:tc>
        <w:tc>
          <w:tcPr>
            <w:tcW w:w="1008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Merge w:val="continue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UL active time</w:t>
            </w:r>
          </w:p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(cycle=8, duration=4)</w:t>
            </w:r>
          </w:p>
        </w:tc>
        <w:tc>
          <w:tcPr>
            <w:tcW w:w="1040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1152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652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100%</w:t>
            </w:r>
          </w:p>
        </w:tc>
        <w:tc>
          <w:tcPr>
            <w:tcW w:w="1414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13.7%</w:t>
            </w:r>
          </w:p>
        </w:tc>
        <w:tc>
          <w:tcPr>
            <w:tcW w:w="1008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13.67%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Merge w:val="continue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UL active time</w:t>
            </w:r>
          </w:p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(cycle=8, duration=3)</w:t>
            </w:r>
          </w:p>
        </w:tc>
        <w:tc>
          <w:tcPr>
            <w:tcW w:w="1040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152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652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100%</w:t>
            </w:r>
          </w:p>
        </w:tc>
        <w:tc>
          <w:tcPr>
            <w:tcW w:w="1414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18.67%</w:t>
            </w:r>
          </w:p>
        </w:tc>
        <w:tc>
          <w:tcPr>
            <w:tcW w:w="1008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19%</w:t>
            </w:r>
          </w:p>
        </w:tc>
      </w:tr>
    </w:tbl>
    <w:p>
      <w:pPr>
        <w:pStyle w:val="38"/>
        <w:spacing w:before="120" w:after="120" w:line="240" w:lineRule="auto"/>
        <w:jc w:val="both"/>
        <w:rPr>
          <w:i w:val="0"/>
          <w:iCs w:val="0"/>
        </w:rPr>
      </w:pPr>
      <w:bookmarkStart w:id="24" w:name="_Toc29077"/>
      <w:bookmarkStart w:id="25" w:name="_Toc18435"/>
      <w:bookmarkStart w:id="26" w:name="_Toc18433"/>
      <w:bookmarkStart w:id="27" w:name="_Toc8746"/>
      <w:bookmarkStart w:id="28" w:name="_Toc8220"/>
      <w:bookmarkStart w:id="29" w:name="_Toc29810"/>
      <w:r>
        <w:rPr>
          <w:i w:val="0"/>
          <w:iCs w:val="0"/>
        </w:rPr>
        <w:t>For FR1 InH UL,low load,</w:t>
      </w:r>
      <w:r>
        <w:rPr>
          <w:i w:val="0"/>
          <w:iCs w:val="0"/>
          <w:lang w:val="en-US" w:eastAsia="zh-CN"/>
        </w:rPr>
        <w:t xml:space="preserve"> compared to scheme that UE can always transmit UL signal,</w:t>
      </w:r>
      <w:bookmarkEnd w:id="24"/>
      <w:bookmarkStart w:id="30" w:name="_Toc15075"/>
      <w:r>
        <w:rPr>
          <w:i w:val="0"/>
          <w:iCs w:val="0"/>
          <w:lang w:val="en-US" w:eastAsia="zh-CN"/>
        </w:rPr>
        <w:t>the power saving gain of proposed scheme(UL active time) is in the range of {13.67%, 19%} without satisfied UE loss.</w:t>
      </w:r>
      <w:bookmarkEnd w:id="25"/>
      <w:bookmarkEnd w:id="26"/>
      <w:bookmarkEnd w:id="27"/>
      <w:bookmarkEnd w:id="28"/>
      <w:bookmarkEnd w:id="29"/>
      <w:bookmarkEnd w:id="30"/>
    </w:p>
    <w:p>
      <w:pPr>
        <w:pStyle w:val="4"/>
        <w:spacing w:after="120" w:line="260" w:lineRule="auto"/>
        <w:ind w:left="425" w:right="210" w:hanging="424" w:hangingChars="177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FR1 DU UL</w:t>
      </w:r>
    </w:p>
    <w:p>
      <w:pPr>
        <w:spacing w:before="120" w:after="120" w:line="256" w:lineRule="auto"/>
        <w:jc w:val="center"/>
      </w:pPr>
      <w:r>
        <w:rPr>
          <w:rFonts w:hint="eastAsia"/>
          <w:szCs w:val="22"/>
        </w:rPr>
        <w:t xml:space="preserve">Table 2 </w:t>
      </w:r>
      <w:r>
        <w:t xml:space="preserve">FR1 power consumption results in </w:t>
      </w:r>
      <w:r>
        <w:rPr>
          <w:rFonts w:hint="eastAsia"/>
        </w:rPr>
        <w:t>Dense Urban</w:t>
      </w:r>
      <w:r>
        <w:t xml:space="preserve"> scenario </w:t>
      </w:r>
      <w:r>
        <w:rPr>
          <w:rFonts w:hint="eastAsia"/>
        </w:rPr>
        <w:t>(pose/control)</w:t>
      </w:r>
    </w:p>
    <w:tbl>
      <w:tblPr>
        <w:tblStyle w:val="28"/>
        <w:tblW w:w="89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1333"/>
        <w:gridCol w:w="847"/>
        <w:gridCol w:w="1719"/>
        <w:gridCol w:w="1478"/>
        <w:gridCol w:w="1238"/>
        <w:gridCol w:w="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396" w:type="dxa"/>
            <w:vMerge w:val="restart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rFonts w:eastAsia="Times New Roman"/>
                <w:b/>
                <w:kern w:val="0"/>
                <w:sz w:val="18"/>
                <w:szCs w:val="18"/>
              </w:rPr>
            </w:pPr>
            <w:r>
              <w:rPr>
                <w:rFonts w:hint="eastAsia" w:eastAsia="Times New Roman"/>
                <w:b/>
                <w:kern w:val="0"/>
                <w:sz w:val="18"/>
                <w:szCs w:val="18"/>
              </w:rPr>
              <w:t>Application</w:t>
            </w:r>
          </w:p>
        </w:tc>
        <w:tc>
          <w:tcPr>
            <w:tcW w:w="1366" w:type="dxa"/>
            <w:vMerge w:val="restart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 w:eastAsia="Times New Roman"/>
                <w:b/>
                <w:kern w:val="0"/>
                <w:sz w:val="18"/>
                <w:szCs w:val="18"/>
              </w:rPr>
              <w:t>Scheme</w:t>
            </w:r>
          </w:p>
        </w:tc>
        <w:tc>
          <w:tcPr>
            <w:tcW w:w="864" w:type="dxa"/>
            <w:vMerge w:val="restart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 w:line="276" w:lineRule="auto"/>
              <w:jc w:val="center"/>
              <w:rPr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avg # UEs/ cell = N1</w:t>
            </w:r>
          </w:p>
        </w:tc>
        <w:tc>
          <w:tcPr>
            <w:tcW w:w="1719" w:type="dxa"/>
            <w:vMerge w:val="restart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 w:line="276" w:lineRule="auto"/>
              <w:jc w:val="center"/>
              <w:rPr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C1=floor(Capacity)</w:t>
            </w:r>
          </w:p>
        </w:tc>
        <w:tc>
          <w:tcPr>
            <w:tcW w:w="1514" w:type="dxa"/>
            <w:vMerge w:val="restart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 w:line="276" w:lineRule="auto"/>
              <w:jc w:val="center"/>
              <w:rPr>
                <w:rFonts w:eastAsia="Times New Roman"/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% of satisfied UEs when #UEs/cell = N1</w:t>
            </w:r>
          </w:p>
        </w:tc>
        <w:tc>
          <w:tcPr>
            <w:tcW w:w="2104" w:type="dxa"/>
            <w:gridSpan w:val="2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 w:line="276" w:lineRule="auto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Average PS gain 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396" w:type="dxa"/>
            <w:vMerge w:val="continue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 w:line="276" w:lineRule="auto"/>
              <w:jc w:val="center"/>
            </w:pPr>
          </w:p>
        </w:tc>
        <w:tc>
          <w:tcPr>
            <w:tcW w:w="1366" w:type="dxa"/>
            <w:vMerge w:val="continue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 w:line="276" w:lineRule="auto"/>
              <w:jc w:val="center"/>
            </w:pPr>
          </w:p>
        </w:tc>
        <w:tc>
          <w:tcPr>
            <w:tcW w:w="864" w:type="dxa"/>
            <w:vMerge w:val="continue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 w:line="276" w:lineRule="auto"/>
              <w:jc w:val="center"/>
            </w:pPr>
          </w:p>
        </w:tc>
        <w:tc>
          <w:tcPr>
            <w:tcW w:w="1719" w:type="dxa"/>
            <w:vMerge w:val="continue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 w:line="276" w:lineRule="auto"/>
              <w:jc w:val="center"/>
            </w:pPr>
          </w:p>
        </w:tc>
        <w:tc>
          <w:tcPr>
            <w:tcW w:w="1514" w:type="dxa"/>
            <w:vMerge w:val="continue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 w:line="276" w:lineRule="auto"/>
              <w:jc w:val="center"/>
            </w:pPr>
          </w:p>
        </w:tc>
        <w:tc>
          <w:tcPr>
            <w:tcW w:w="1147" w:type="dxa"/>
            <w:shd w:val="clear" w:color="auto" w:fill="F1F1F1" w:themeFill="background1" w:themeFillShade="F2"/>
            <w:vAlign w:val="center"/>
          </w:tcPr>
          <w:p>
            <w:pPr>
              <w:pStyle w:val="81"/>
              <w:widowControl w:val="0"/>
              <w:spacing w:before="0" w:beforeLines="0" w:after="0" w:afterLines="0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</w:rPr>
              <w:t>L</w:t>
            </w:r>
            <w:r>
              <w:rPr>
                <w:rFonts w:hint="eastAsia" w:ascii="Times New Roman" w:hAnsi="Times New Roman" w:cs="Times New Roman"/>
                <w:sz w:val="20"/>
              </w:rPr>
              <w:t>inear</w:t>
            </w:r>
            <w:r>
              <w:rPr>
                <w:rFonts w:ascii="Times New Roman" w:hAnsi="Times New Roman" w:cs="Times New Roman"/>
                <w:sz w:val="20"/>
              </w:rPr>
              <w:t xml:space="preserve"> interpolation</w:t>
            </w:r>
          </w:p>
        </w:tc>
        <w:tc>
          <w:tcPr>
            <w:tcW w:w="957" w:type="dxa"/>
            <w:shd w:val="clear" w:color="auto" w:fill="F1F1F1" w:themeFill="background1" w:themeFillShade="F2"/>
            <w:vAlign w:val="center"/>
          </w:tcPr>
          <w:p>
            <w:pPr>
              <w:pStyle w:val="81"/>
              <w:widowControl w:val="0"/>
              <w:spacing w:before="0" w:beforeLines="0" w:after="0" w:afterLines="0"/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S</w:t>
            </w:r>
            <w:r>
              <w:rPr>
                <w:rFonts w:hint="eastAsia" w:ascii="Times New Roman" w:hAnsi="Times New Roman" w:cs="Times New Roman"/>
                <w:sz w:val="20"/>
              </w:rPr>
              <w:t>tep</w:t>
            </w:r>
            <w:r>
              <w:rPr>
                <w:rFonts w:ascii="Times New Roman" w:hAnsi="Times New Roman" w:cs="Times New Roman"/>
                <w:sz w:val="20"/>
              </w:rPr>
              <w:t xml:space="preserve"> function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Merge w:val="restart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UL:pose/control</w:t>
            </w:r>
          </w:p>
        </w:tc>
        <w:tc>
          <w:tcPr>
            <w:tcW w:w="1366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Baseline</w:t>
            </w:r>
          </w:p>
        </w:tc>
        <w:tc>
          <w:tcPr>
            <w:tcW w:w="864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1719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514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100%</w:t>
            </w:r>
          </w:p>
        </w:tc>
        <w:tc>
          <w:tcPr>
            <w:tcW w:w="1147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/</w:t>
            </w:r>
          </w:p>
        </w:tc>
        <w:tc>
          <w:tcPr>
            <w:tcW w:w="957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Merge w:val="continue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UL active time</w:t>
            </w:r>
          </w:p>
        </w:tc>
        <w:tc>
          <w:tcPr>
            <w:tcW w:w="864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1719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514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100%</w:t>
            </w:r>
          </w:p>
        </w:tc>
        <w:tc>
          <w:tcPr>
            <w:tcW w:w="1147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13.2%</w:t>
            </w:r>
          </w:p>
        </w:tc>
        <w:tc>
          <w:tcPr>
            <w:tcW w:w="957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14.3%</w:t>
            </w:r>
          </w:p>
        </w:tc>
      </w:tr>
    </w:tbl>
    <w:p>
      <w:pPr>
        <w:pStyle w:val="38"/>
        <w:tabs>
          <w:tab w:val="clear" w:pos="0"/>
        </w:tabs>
        <w:spacing w:before="120" w:after="120" w:line="276" w:lineRule="auto"/>
        <w:jc w:val="both"/>
        <w:rPr>
          <w:i w:val="0"/>
          <w:iCs w:val="0"/>
        </w:rPr>
      </w:pPr>
      <w:bookmarkStart w:id="31" w:name="_Toc16049"/>
      <w:bookmarkStart w:id="32" w:name="_Toc28358"/>
      <w:bookmarkStart w:id="33" w:name="_Toc12278"/>
      <w:bookmarkStart w:id="34" w:name="_Toc28882"/>
      <w:bookmarkStart w:id="35" w:name="_Toc7902"/>
      <w:r>
        <w:rPr>
          <w:i w:val="0"/>
          <w:iCs w:val="0"/>
        </w:rPr>
        <w:t xml:space="preserve">For FR1 DU UL,low load, </w:t>
      </w:r>
      <w:r>
        <w:rPr>
          <w:i w:val="0"/>
          <w:iCs w:val="0"/>
          <w:lang w:val="en-US" w:eastAsia="zh-CN"/>
        </w:rPr>
        <w:t>compared to scheme that UE can always transmit UL signal, the power saving gain of proposed scheme(UL active time) is in the range of {13.2%, 14.3%} without satisfied UE loss.</w:t>
      </w:r>
      <w:bookmarkEnd w:id="31"/>
      <w:bookmarkEnd w:id="32"/>
      <w:bookmarkEnd w:id="33"/>
      <w:bookmarkEnd w:id="34"/>
      <w:bookmarkEnd w:id="35"/>
    </w:p>
    <w:p>
      <w:pPr>
        <w:spacing w:before="120" w:after="120"/>
      </w:pPr>
    </w:p>
    <w:p>
      <w:pPr>
        <w:pStyle w:val="3"/>
        <w:spacing w:before="120" w:after="120"/>
        <w:ind w:left="209" w:right="210" w:hanging="208" w:hangingChars="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SR group switching</w:t>
      </w:r>
    </w:p>
    <w:p>
      <w:pPr>
        <w:widowControl w:val="0"/>
        <w:spacing w:before="120" w:after="120"/>
      </w:pPr>
      <w:r>
        <w:rPr>
          <w:rFonts w:hint="eastAsia"/>
        </w:rPr>
        <w:t xml:space="preserve">In this section, </w:t>
      </w:r>
      <w:r>
        <w:t xml:space="preserve">the case </w:t>
      </w:r>
      <w:r>
        <w:rPr>
          <w:rFonts w:hint="eastAsia"/>
        </w:rPr>
        <w:t xml:space="preserve">UL pose/control traffic: 0.2Mbps@250fps, 10ms is evaluated. Dynamic grant scheduling is used for the traffic streams. </w:t>
      </w:r>
      <w:r>
        <w:t>That is, i</w:t>
      </w:r>
      <w:r>
        <w:rPr>
          <w:rFonts w:hint="eastAsia"/>
        </w:rPr>
        <w:t xml:space="preserve">f </w:t>
      </w:r>
      <w:r>
        <w:t xml:space="preserve">there is </w:t>
      </w:r>
      <w:r>
        <w:rPr>
          <w:rFonts w:hint="eastAsia"/>
        </w:rPr>
        <w:t>traffic to be transmitted, SR will be transmitted firstly</w:t>
      </w:r>
      <w:r>
        <w:t>,</w:t>
      </w:r>
      <w:r>
        <w:rPr>
          <w:rFonts w:hint="eastAsia"/>
        </w:rPr>
        <w:t xml:space="preserve"> and then </w:t>
      </w:r>
      <w:r>
        <w:t>UE will detect PDCCH</w:t>
      </w:r>
      <w:r>
        <w:rPr>
          <w:rFonts w:hint="eastAsia"/>
        </w:rPr>
        <w:t xml:space="preserve"> for dynamic </w:t>
      </w:r>
      <w:r>
        <w:t xml:space="preserve">UL </w:t>
      </w:r>
      <w:r>
        <w:rPr>
          <w:rFonts w:hint="eastAsia"/>
        </w:rPr>
        <w:t>grant from gNB. In this section, the following schemes are simulated:</w:t>
      </w:r>
    </w:p>
    <w:p>
      <w:pPr>
        <w:widowControl w:val="0"/>
        <w:numPr>
          <w:ilvl w:val="0"/>
          <w:numId w:val="10"/>
        </w:numPr>
        <w:spacing w:before="120" w:after="120"/>
      </w:pPr>
      <w:r>
        <w:rPr>
          <w:rFonts w:hint="eastAsia"/>
        </w:rPr>
        <w:t>Baseline: The UL</w:t>
      </w:r>
      <w:r>
        <w:t xml:space="preserve"> is set as</w:t>
      </w:r>
      <w:r>
        <w:rPr>
          <w:rFonts w:hint="eastAsia"/>
        </w:rPr>
        <w:t xml:space="preserve"> always</w:t>
      </w:r>
      <w:r>
        <w:t>-</w:t>
      </w:r>
      <w:r>
        <w:rPr>
          <w:rFonts w:hint="eastAsia"/>
        </w:rPr>
        <w:t>on</w:t>
      </w:r>
      <w:r>
        <w:t xml:space="preserve"> as the baseline</w:t>
      </w:r>
      <w:r>
        <w:rPr>
          <w:rFonts w:hint="eastAsia"/>
        </w:rPr>
        <w:t xml:space="preserve">. It means UE can </w:t>
      </w:r>
      <w:r>
        <w:t>perform</w:t>
      </w:r>
      <w:r>
        <w:rPr>
          <w:rFonts w:hint="eastAsia"/>
        </w:rPr>
        <w:t xml:space="preserve"> UL </w:t>
      </w:r>
      <w:r>
        <w:t>transmission</w:t>
      </w:r>
      <w:r>
        <w:rPr>
          <w:rFonts w:hint="eastAsia"/>
        </w:rPr>
        <w:t xml:space="preserve"> at every UL slots/symbols</w:t>
      </w:r>
      <w:r>
        <w:t xml:space="preserve"> if needed</w:t>
      </w:r>
      <w:r>
        <w:rPr>
          <w:rFonts w:hint="eastAsia"/>
        </w:rPr>
        <w:t>. If UE transmit</w:t>
      </w:r>
      <w:r>
        <w:t>s</w:t>
      </w:r>
      <w:r>
        <w:rPr>
          <w:rFonts w:hint="eastAsia"/>
        </w:rPr>
        <w:t xml:space="preserve"> SR, UE will monitor PDCCH for</w:t>
      </w:r>
      <w:r>
        <w:t xml:space="preserve"> the</w:t>
      </w:r>
      <w:r>
        <w:rPr>
          <w:rFonts w:hint="eastAsia"/>
        </w:rPr>
        <w:t xml:space="preserve"> </w:t>
      </w:r>
      <w:r>
        <w:t>subsequent</w:t>
      </w:r>
      <w:r>
        <w:rPr>
          <w:rFonts w:hint="eastAsia"/>
        </w:rPr>
        <w:t xml:space="preserve"> 2.5ms, otherwise, UE does not monitor PDCCH.</w:t>
      </w:r>
    </w:p>
    <w:p>
      <w:pPr>
        <w:widowControl w:val="0"/>
        <w:numPr>
          <w:ilvl w:val="0"/>
          <w:numId w:val="10"/>
        </w:numPr>
        <w:spacing w:before="120" w:after="120"/>
      </w:pPr>
      <w:r>
        <w:rPr>
          <w:rFonts w:hint="eastAsia"/>
        </w:rPr>
        <w:t xml:space="preserve">SR group switching: Two SR groups are </w:t>
      </w:r>
      <w:r>
        <w:t>assumed, where</w:t>
      </w:r>
      <w:r>
        <w:rPr>
          <w:rFonts w:hint="eastAsia"/>
        </w:rPr>
        <w:t xml:space="preserve"> the periodicities of SR group #1 and SR group #2 </w:t>
      </w:r>
      <w:r>
        <w:t>are</w:t>
      </w:r>
      <w:r>
        <w:rPr>
          <w:rFonts w:hint="eastAsia"/>
        </w:rPr>
        <w:t xml:space="preserve"> 1 slot and 15 slots</w:t>
      </w:r>
      <w:r>
        <w:t xml:space="preserve"> </w:t>
      </w:r>
      <w:r>
        <w:rPr>
          <w:rFonts w:hint="eastAsia"/>
        </w:rPr>
        <w:t>respectively. The cycle of SR group switching is 16ms,</w:t>
      </w:r>
      <w:r>
        <w:t xml:space="preserve"> </w:t>
      </w:r>
      <w:r>
        <w:rPr>
          <w:rFonts w:hint="eastAsia"/>
        </w:rPr>
        <w:t xml:space="preserve">where SR group #1 is active and SR group #2 is disable in the first </w:t>
      </w:r>
      <w:r>
        <w:t>5</w:t>
      </w:r>
      <w:r>
        <w:rPr>
          <w:rFonts w:hint="eastAsia"/>
        </w:rPr>
        <w:t>ms, and SR group #2 is active and SR group #1 is disable in the next 1</w:t>
      </w:r>
      <w:r>
        <w:t>1</w:t>
      </w:r>
      <w:r>
        <w:rPr>
          <w:rFonts w:hint="eastAsia"/>
        </w:rPr>
        <w:t>ms</w:t>
      </w:r>
      <w:r>
        <w:t xml:space="preserve"> as Figure 5 shown.</w:t>
      </w:r>
    </w:p>
    <w:p>
      <w:pPr>
        <w:widowControl w:val="0"/>
        <w:spacing w:before="120" w:after="120"/>
        <w:jc w:val="center"/>
      </w:pPr>
      <w:r>
        <w:drawing>
          <wp:inline distT="0" distB="0" distL="114300" distR="114300">
            <wp:extent cx="4444365" cy="1538605"/>
            <wp:effectExtent l="0" t="0" r="13335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444365" cy="1538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before="120" w:after="120"/>
        <w:jc w:val="center"/>
      </w:pPr>
      <w:r>
        <w:rPr>
          <w:rFonts w:hint="eastAsia"/>
        </w:rPr>
        <w:t>Figure 5 Illustration of SR group switching</w:t>
      </w:r>
    </w:p>
    <w:p>
      <w:pPr>
        <w:pStyle w:val="4"/>
        <w:spacing w:after="120" w:line="260" w:lineRule="auto"/>
        <w:ind w:left="425" w:right="210" w:hanging="424" w:hangingChars="177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FR1 InH UL</w:t>
      </w:r>
    </w:p>
    <w:p>
      <w:pPr>
        <w:spacing w:before="120" w:after="0" w:afterLines="0" w:line="257" w:lineRule="auto"/>
        <w:jc w:val="center"/>
      </w:pPr>
      <w:r>
        <w:rPr>
          <w:rFonts w:hint="eastAsia"/>
          <w:szCs w:val="22"/>
        </w:rPr>
        <w:t xml:space="preserve">Table 3 </w:t>
      </w:r>
      <w:r>
        <w:t xml:space="preserve">FR1 power consumption results in Indoor Hotspot scenario </w:t>
      </w:r>
      <w:r>
        <w:rPr>
          <w:rFonts w:hint="eastAsia"/>
        </w:rPr>
        <w:t>(pose/control)</w:t>
      </w:r>
    </w:p>
    <w:p>
      <w:pPr>
        <w:spacing w:before="0" w:beforeLines="0" w:after="120" w:line="257" w:lineRule="auto"/>
        <w:jc w:val="center"/>
      </w:pPr>
      <w:r>
        <w:t>(</w:t>
      </w:r>
      <w:r>
        <w:rPr>
          <w:rFonts w:hint="eastAsia"/>
        </w:rPr>
        <w:t xml:space="preserve">Note: </w:t>
      </w:r>
      <w:r>
        <w:t xml:space="preserve">the </w:t>
      </w:r>
      <w:r>
        <w:rPr>
          <w:rFonts w:hint="eastAsia"/>
        </w:rPr>
        <w:t xml:space="preserve">power </w:t>
      </w:r>
      <w:r>
        <w:t xml:space="preserve">consumption of </w:t>
      </w:r>
      <w:r>
        <w:rPr>
          <w:rFonts w:hint="eastAsia"/>
        </w:rPr>
        <w:t>SR, PDCCH and PUSCH is considered.</w:t>
      </w:r>
      <w:r>
        <w:t>)</w:t>
      </w:r>
    </w:p>
    <w:tbl>
      <w:tblPr>
        <w:tblStyle w:val="28"/>
        <w:tblW w:w="89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1324"/>
        <w:gridCol w:w="1275"/>
        <w:gridCol w:w="1274"/>
        <w:gridCol w:w="1453"/>
        <w:gridCol w:w="1238"/>
        <w:gridCol w:w="10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365" w:type="dxa"/>
            <w:vMerge w:val="restart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rFonts w:eastAsia="Times New Roman"/>
                <w:b/>
                <w:kern w:val="0"/>
                <w:sz w:val="18"/>
                <w:szCs w:val="18"/>
              </w:rPr>
            </w:pPr>
            <w:r>
              <w:rPr>
                <w:rFonts w:hint="eastAsia" w:eastAsia="Times New Roman"/>
                <w:b/>
                <w:kern w:val="0"/>
                <w:sz w:val="18"/>
                <w:szCs w:val="18"/>
              </w:rPr>
              <w:t>application</w:t>
            </w:r>
          </w:p>
        </w:tc>
        <w:tc>
          <w:tcPr>
            <w:tcW w:w="1324" w:type="dxa"/>
            <w:vMerge w:val="restart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 w:eastAsia="Times New Roman"/>
                <w:b/>
                <w:kern w:val="0"/>
                <w:sz w:val="18"/>
                <w:szCs w:val="18"/>
              </w:rPr>
              <w:t>Scheme</w:t>
            </w:r>
          </w:p>
        </w:tc>
        <w:tc>
          <w:tcPr>
            <w:tcW w:w="1275" w:type="dxa"/>
            <w:vMerge w:val="restart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 w:line="276" w:lineRule="auto"/>
              <w:jc w:val="center"/>
              <w:rPr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avg # UEs/ cell = N1</w:t>
            </w:r>
          </w:p>
        </w:tc>
        <w:tc>
          <w:tcPr>
            <w:tcW w:w="1274" w:type="dxa"/>
            <w:vMerge w:val="restart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 w:line="276" w:lineRule="auto"/>
              <w:jc w:val="center"/>
              <w:rPr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C1=floor(Capacity)</w:t>
            </w:r>
          </w:p>
        </w:tc>
        <w:tc>
          <w:tcPr>
            <w:tcW w:w="1453" w:type="dxa"/>
            <w:vMerge w:val="restart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 w:line="276" w:lineRule="auto"/>
              <w:jc w:val="center"/>
              <w:rPr>
                <w:rFonts w:eastAsia="Times New Roman"/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% of satisfied UEs when #UEs/cell = N1</w:t>
            </w:r>
          </w:p>
        </w:tc>
        <w:tc>
          <w:tcPr>
            <w:tcW w:w="2272" w:type="dxa"/>
            <w:gridSpan w:val="2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 w:line="276" w:lineRule="auto"/>
              <w:jc w:val="center"/>
              <w:rPr>
                <w:rFonts w:eastAsia="Times New Roman"/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Average PS gain 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365" w:type="dxa"/>
            <w:vMerge w:val="continue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 w:line="276" w:lineRule="auto"/>
              <w:jc w:val="center"/>
            </w:pPr>
          </w:p>
        </w:tc>
        <w:tc>
          <w:tcPr>
            <w:tcW w:w="1324" w:type="dxa"/>
            <w:vMerge w:val="continue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 w:line="276" w:lineRule="auto"/>
              <w:jc w:val="center"/>
            </w:pPr>
          </w:p>
        </w:tc>
        <w:tc>
          <w:tcPr>
            <w:tcW w:w="1275" w:type="dxa"/>
            <w:vMerge w:val="continue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 w:line="276" w:lineRule="auto"/>
              <w:jc w:val="center"/>
            </w:pPr>
          </w:p>
        </w:tc>
        <w:tc>
          <w:tcPr>
            <w:tcW w:w="1274" w:type="dxa"/>
            <w:vMerge w:val="continue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 w:line="276" w:lineRule="auto"/>
              <w:jc w:val="center"/>
            </w:pPr>
          </w:p>
        </w:tc>
        <w:tc>
          <w:tcPr>
            <w:tcW w:w="1453" w:type="dxa"/>
            <w:vMerge w:val="continue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 w:line="276" w:lineRule="auto"/>
              <w:jc w:val="center"/>
            </w:pPr>
          </w:p>
        </w:tc>
        <w:tc>
          <w:tcPr>
            <w:tcW w:w="1238" w:type="dxa"/>
            <w:shd w:val="clear" w:color="auto" w:fill="F1F1F1" w:themeFill="background1" w:themeFillShade="F2"/>
            <w:vAlign w:val="center"/>
          </w:tcPr>
          <w:p>
            <w:pPr>
              <w:pStyle w:val="81"/>
              <w:widowControl w:val="0"/>
              <w:spacing w:before="0" w:beforeLines="0" w:after="0" w:afterLines="0"/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L</w:t>
            </w:r>
            <w:r>
              <w:rPr>
                <w:rFonts w:hint="eastAsia" w:ascii="Times New Roman" w:hAnsi="Times New Roman" w:cs="Times New Roman"/>
                <w:sz w:val="20"/>
              </w:rPr>
              <w:t>inear</w:t>
            </w:r>
            <w:r>
              <w:rPr>
                <w:rFonts w:ascii="Times New Roman" w:hAnsi="Times New Roman" w:cs="Times New Roman"/>
                <w:sz w:val="20"/>
              </w:rPr>
              <w:t xml:space="preserve"> interpolation</w:t>
            </w:r>
          </w:p>
        </w:tc>
        <w:tc>
          <w:tcPr>
            <w:tcW w:w="1034" w:type="dxa"/>
            <w:shd w:val="clear" w:color="auto" w:fill="F1F1F1" w:themeFill="background1" w:themeFillShade="F2"/>
            <w:vAlign w:val="center"/>
          </w:tcPr>
          <w:p>
            <w:pPr>
              <w:pStyle w:val="81"/>
              <w:widowControl w:val="0"/>
              <w:spacing w:before="0" w:beforeLines="0" w:after="0" w:afterLines="0"/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S</w:t>
            </w:r>
            <w:r>
              <w:rPr>
                <w:rFonts w:hint="eastAsia" w:ascii="Times New Roman" w:hAnsi="Times New Roman" w:cs="Times New Roman"/>
                <w:sz w:val="20"/>
              </w:rPr>
              <w:t>tep</w:t>
            </w:r>
            <w:r>
              <w:rPr>
                <w:rFonts w:ascii="Times New Roman" w:hAnsi="Times New Roman" w:cs="Times New Roman"/>
                <w:sz w:val="20"/>
              </w:rPr>
              <w:t xml:space="preserve"> function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65" w:type="dxa"/>
            <w:vMerge w:val="restart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UL:</w:t>
            </w:r>
          </w:p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pose/control</w:t>
            </w:r>
          </w:p>
        </w:tc>
        <w:tc>
          <w:tcPr>
            <w:tcW w:w="1324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Baseline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1274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453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100%</w:t>
            </w:r>
          </w:p>
        </w:tc>
        <w:tc>
          <w:tcPr>
            <w:tcW w:w="1238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/</w:t>
            </w:r>
          </w:p>
        </w:tc>
        <w:tc>
          <w:tcPr>
            <w:tcW w:w="1034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5" w:type="dxa"/>
            <w:vMerge w:val="continue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</w:p>
        </w:tc>
        <w:tc>
          <w:tcPr>
            <w:tcW w:w="1324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SR group</w:t>
            </w:r>
            <w:r>
              <w:rPr>
                <w:sz w:val="18"/>
                <w:szCs w:val="18"/>
              </w:rPr>
              <w:t xml:space="preserve"> switching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1274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453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100%</w:t>
            </w:r>
          </w:p>
        </w:tc>
        <w:tc>
          <w:tcPr>
            <w:tcW w:w="1238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12%</w:t>
            </w:r>
          </w:p>
        </w:tc>
        <w:tc>
          <w:tcPr>
            <w:tcW w:w="1034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12.1%</w:t>
            </w:r>
          </w:p>
        </w:tc>
      </w:tr>
    </w:tbl>
    <w:p>
      <w:pPr>
        <w:pStyle w:val="38"/>
        <w:tabs>
          <w:tab w:val="clear" w:pos="0"/>
        </w:tabs>
        <w:spacing w:before="120" w:after="120" w:line="276" w:lineRule="auto"/>
        <w:jc w:val="both"/>
        <w:rPr>
          <w:i w:val="0"/>
          <w:iCs w:val="0"/>
        </w:rPr>
      </w:pPr>
      <w:bookmarkStart w:id="36" w:name="_Toc22129"/>
      <w:bookmarkStart w:id="37" w:name="_Toc1031"/>
      <w:bookmarkStart w:id="38" w:name="_Toc9264"/>
      <w:bookmarkStart w:id="39" w:name="_Toc20861"/>
      <w:bookmarkStart w:id="40" w:name="_Toc18942"/>
      <w:r>
        <w:rPr>
          <w:i w:val="0"/>
          <w:iCs w:val="0"/>
        </w:rPr>
        <w:t xml:space="preserve">For FR1 InH UL, low load, </w:t>
      </w:r>
      <w:r>
        <w:rPr>
          <w:i w:val="0"/>
          <w:iCs w:val="0"/>
          <w:lang w:val="en-US" w:eastAsia="zh-CN"/>
        </w:rPr>
        <w:t>compared to scheme that UE can always transmit UL signal, the power saving gain of proposed scheme(SR group switching) is in the range of {12%, 12.1%} without satisfied UE loss.</w:t>
      </w:r>
      <w:bookmarkEnd w:id="36"/>
      <w:bookmarkEnd w:id="37"/>
      <w:bookmarkEnd w:id="38"/>
      <w:bookmarkEnd w:id="39"/>
      <w:bookmarkEnd w:id="40"/>
    </w:p>
    <w:p>
      <w:pPr>
        <w:rPr>
          <w:i w:val="0"/>
          <w:iCs w:val="0"/>
          <w:lang w:val="en-GB"/>
        </w:rPr>
      </w:pPr>
    </w:p>
    <w:p>
      <w:pPr>
        <w:pStyle w:val="4"/>
        <w:spacing w:after="120" w:line="260" w:lineRule="auto"/>
        <w:ind w:left="425" w:right="210" w:hanging="424" w:hangingChars="177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FR1 DU UL</w:t>
      </w:r>
    </w:p>
    <w:p>
      <w:pPr>
        <w:spacing w:before="120" w:after="120" w:line="256" w:lineRule="auto"/>
        <w:jc w:val="center"/>
      </w:pPr>
      <w:r>
        <w:rPr>
          <w:rFonts w:hint="eastAsia"/>
          <w:szCs w:val="22"/>
        </w:rPr>
        <w:t xml:space="preserve">Table 4 </w:t>
      </w:r>
      <w:r>
        <w:t xml:space="preserve">FR1 power consumption results in </w:t>
      </w:r>
      <w:r>
        <w:rPr>
          <w:rFonts w:hint="eastAsia"/>
        </w:rPr>
        <w:t>dense urban</w:t>
      </w:r>
      <w:r>
        <w:t xml:space="preserve"> scenario </w:t>
      </w:r>
      <w:r>
        <w:rPr>
          <w:rFonts w:hint="eastAsia"/>
        </w:rPr>
        <w:t>(pose/control)</w:t>
      </w:r>
    </w:p>
    <w:tbl>
      <w:tblPr>
        <w:tblStyle w:val="28"/>
        <w:tblW w:w="89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1309"/>
        <w:gridCol w:w="1259"/>
        <w:gridCol w:w="1289"/>
        <w:gridCol w:w="1441"/>
        <w:gridCol w:w="1238"/>
        <w:gridCol w:w="10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396" w:type="dxa"/>
            <w:vMerge w:val="restart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rFonts w:eastAsia="Times New Roman"/>
                <w:b/>
                <w:kern w:val="0"/>
                <w:sz w:val="18"/>
                <w:szCs w:val="18"/>
              </w:rPr>
            </w:pPr>
            <w:r>
              <w:rPr>
                <w:rFonts w:hint="eastAsia" w:eastAsia="Times New Roman"/>
                <w:b/>
                <w:kern w:val="0"/>
                <w:sz w:val="18"/>
                <w:szCs w:val="18"/>
              </w:rPr>
              <w:t>Application</w:t>
            </w:r>
          </w:p>
        </w:tc>
        <w:tc>
          <w:tcPr>
            <w:tcW w:w="1309" w:type="dxa"/>
            <w:vMerge w:val="restart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 w:eastAsia="Times New Roman"/>
                <w:b/>
                <w:kern w:val="0"/>
                <w:sz w:val="18"/>
                <w:szCs w:val="18"/>
              </w:rPr>
              <w:t>Scheme</w:t>
            </w:r>
          </w:p>
        </w:tc>
        <w:tc>
          <w:tcPr>
            <w:tcW w:w="1259" w:type="dxa"/>
            <w:vMerge w:val="restart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 w:line="276" w:lineRule="auto"/>
              <w:jc w:val="center"/>
              <w:rPr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avg # UEs/ cell = N1</w:t>
            </w:r>
          </w:p>
        </w:tc>
        <w:tc>
          <w:tcPr>
            <w:tcW w:w="1289" w:type="dxa"/>
            <w:vMerge w:val="restart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 w:line="276" w:lineRule="auto"/>
              <w:jc w:val="center"/>
              <w:rPr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C1=floor(Capacity)</w:t>
            </w:r>
          </w:p>
        </w:tc>
        <w:tc>
          <w:tcPr>
            <w:tcW w:w="1441" w:type="dxa"/>
            <w:vMerge w:val="restart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 w:line="276" w:lineRule="auto"/>
              <w:jc w:val="center"/>
              <w:rPr>
                <w:rFonts w:eastAsia="Times New Roman"/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% of satisfied UEs when #UEs/cell = N1</w:t>
            </w:r>
          </w:p>
        </w:tc>
        <w:tc>
          <w:tcPr>
            <w:tcW w:w="2269" w:type="dxa"/>
            <w:gridSpan w:val="2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 w:line="276" w:lineRule="auto"/>
              <w:jc w:val="center"/>
              <w:rPr>
                <w:rFonts w:eastAsia="Times New Roman"/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Average PS gain 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396" w:type="dxa"/>
            <w:vMerge w:val="continue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 w:line="276" w:lineRule="auto"/>
              <w:jc w:val="center"/>
            </w:pPr>
          </w:p>
        </w:tc>
        <w:tc>
          <w:tcPr>
            <w:tcW w:w="1309" w:type="dxa"/>
            <w:vMerge w:val="continue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 w:line="276" w:lineRule="auto"/>
              <w:jc w:val="center"/>
            </w:pPr>
          </w:p>
        </w:tc>
        <w:tc>
          <w:tcPr>
            <w:tcW w:w="1259" w:type="dxa"/>
            <w:vMerge w:val="continue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 w:line="276" w:lineRule="auto"/>
              <w:jc w:val="center"/>
            </w:pPr>
          </w:p>
        </w:tc>
        <w:tc>
          <w:tcPr>
            <w:tcW w:w="1289" w:type="dxa"/>
            <w:vMerge w:val="continue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 w:line="276" w:lineRule="auto"/>
              <w:jc w:val="center"/>
            </w:pPr>
          </w:p>
        </w:tc>
        <w:tc>
          <w:tcPr>
            <w:tcW w:w="1441" w:type="dxa"/>
            <w:vMerge w:val="continue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 w:line="276" w:lineRule="auto"/>
              <w:jc w:val="center"/>
            </w:pPr>
          </w:p>
        </w:tc>
        <w:tc>
          <w:tcPr>
            <w:tcW w:w="1238" w:type="dxa"/>
            <w:shd w:val="clear" w:color="auto" w:fill="F1F1F1" w:themeFill="background1" w:themeFillShade="F2"/>
            <w:vAlign w:val="center"/>
          </w:tcPr>
          <w:p>
            <w:pPr>
              <w:pStyle w:val="81"/>
              <w:widowControl w:val="0"/>
              <w:spacing w:before="0" w:beforeLines="0" w:after="0" w:afterLines="0"/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L</w:t>
            </w:r>
            <w:r>
              <w:rPr>
                <w:rFonts w:hint="eastAsia" w:ascii="Times New Roman" w:hAnsi="Times New Roman" w:cs="Times New Roman"/>
                <w:sz w:val="20"/>
              </w:rPr>
              <w:t>inear</w:t>
            </w:r>
            <w:r>
              <w:rPr>
                <w:rFonts w:ascii="Times New Roman" w:hAnsi="Times New Roman" w:cs="Times New Roman"/>
                <w:sz w:val="20"/>
              </w:rPr>
              <w:t xml:space="preserve"> interpolation</w:t>
            </w:r>
          </w:p>
        </w:tc>
        <w:tc>
          <w:tcPr>
            <w:tcW w:w="1031" w:type="dxa"/>
            <w:shd w:val="clear" w:color="auto" w:fill="F1F1F1" w:themeFill="background1" w:themeFillShade="F2"/>
            <w:vAlign w:val="center"/>
          </w:tcPr>
          <w:p>
            <w:pPr>
              <w:pStyle w:val="81"/>
              <w:widowControl w:val="0"/>
              <w:spacing w:before="0" w:beforeLines="0" w:after="0" w:afterLines="0"/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S</w:t>
            </w:r>
            <w:r>
              <w:rPr>
                <w:rFonts w:hint="eastAsia" w:ascii="Times New Roman" w:hAnsi="Times New Roman" w:cs="Times New Roman"/>
                <w:sz w:val="20"/>
              </w:rPr>
              <w:t>tep</w:t>
            </w:r>
            <w:r>
              <w:rPr>
                <w:rFonts w:ascii="Times New Roman" w:hAnsi="Times New Roman" w:cs="Times New Roman"/>
                <w:sz w:val="20"/>
              </w:rPr>
              <w:t xml:space="preserve"> function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96" w:type="dxa"/>
            <w:vMerge w:val="restart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UL:</w:t>
            </w:r>
          </w:p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pose/control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Baseline</w:t>
            </w:r>
          </w:p>
        </w:tc>
        <w:tc>
          <w:tcPr>
            <w:tcW w:w="1259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1289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441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100%</w:t>
            </w:r>
          </w:p>
        </w:tc>
        <w:tc>
          <w:tcPr>
            <w:tcW w:w="1238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/</w:t>
            </w:r>
          </w:p>
        </w:tc>
        <w:tc>
          <w:tcPr>
            <w:tcW w:w="1031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Merge w:val="continue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SR group</w:t>
            </w:r>
            <w:r>
              <w:rPr>
                <w:sz w:val="18"/>
                <w:szCs w:val="18"/>
              </w:rPr>
              <w:t xml:space="preserve"> switching</w:t>
            </w:r>
          </w:p>
        </w:tc>
        <w:tc>
          <w:tcPr>
            <w:tcW w:w="1259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1289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441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100%</w:t>
            </w:r>
          </w:p>
        </w:tc>
        <w:tc>
          <w:tcPr>
            <w:tcW w:w="1238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11.4%</w:t>
            </w:r>
          </w:p>
        </w:tc>
        <w:tc>
          <w:tcPr>
            <w:tcW w:w="1031" w:type="dxa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11.37%</w:t>
            </w:r>
          </w:p>
        </w:tc>
      </w:tr>
    </w:tbl>
    <w:p>
      <w:pPr>
        <w:pStyle w:val="38"/>
        <w:tabs>
          <w:tab w:val="clear" w:pos="0"/>
        </w:tabs>
        <w:spacing w:before="120" w:after="120" w:line="276" w:lineRule="auto"/>
        <w:jc w:val="both"/>
        <w:rPr>
          <w:i w:val="0"/>
          <w:iCs w:val="0"/>
        </w:rPr>
      </w:pPr>
      <w:bookmarkStart w:id="41" w:name="_Toc1202"/>
      <w:bookmarkStart w:id="42" w:name="_Toc30355"/>
      <w:bookmarkStart w:id="43" w:name="_Toc919"/>
      <w:bookmarkStart w:id="44" w:name="_Toc19282"/>
      <w:bookmarkStart w:id="45" w:name="_Toc15324"/>
      <w:r>
        <w:rPr>
          <w:i w:val="0"/>
          <w:iCs w:val="0"/>
        </w:rPr>
        <w:t xml:space="preserve">For FR1 DU UL, low load, </w:t>
      </w:r>
      <w:r>
        <w:rPr>
          <w:i w:val="0"/>
          <w:iCs w:val="0"/>
          <w:lang w:val="en-US" w:eastAsia="zh-CN"/>
        </w:rPr>
        <w:t>compared to scheme that UE can always transmit UL signal, the power saving gain of proposed scheme(SR group switching) is in the range of {11.37%, 11.4%} without satisfied UE loss.</w:t>
      </w:r>
      <w:bookmarkEnd w:id="41"/>
      <w:bookmarkEnd w:id="42"/>
      <w:bookmarkEnd w:id="43"/>
      <w:bookmarkEnd w:id="44"/>
      <w:bookmarkEnd w:id="45"/>
    </w:p>
    <w:p>
      <w:pPr>
        <w:spacing w:before="120" w:after="120" w:line="276" w:lineRule="auto"/>
        <w:rPr>
          <w:i/>
          <w:iCs/>
          <w:lang w:val="en-GB"/>
        </w:rPr>
      </w:pPr>
    </w:p>
    <w:p>
      <w:pPr>
        <w:pStyle w:val="2"/>
        <w:spacing w:before="120" w:after="120"/>
        <w:ind w:left="0"/>
        <w:rPr>
          <w:rFonts w:ascii="Times New Roman" w:hAnsi="Times New Roman" w:eastAsia="宋体"/>
          <w:b/>
          <w:bCs/>
          <w:sz w:val="24"/>
          <w:szCs w:val="24"/>
        </w:rPr>
      </w:pPr>
      <w:r>
        <w:rPr>
          <w:rFonts w:ascii="Times New Roman" w:hAnsi="Times New Roman" w:eastAsia="宋体"/>
          <w:b/>
          <w:bCs/>
          <w:sz w:val="24"/>
          <w:szCs w:val="24"/>
        </w:rPr>
        <w:t>Conclusion</w:t>
      </w:r>
    </w:p>
    <w:p>
      <w:pPr>
        <w:spacing w:before="120" w:after="120"/>
      </w:pPr>
      <w:r>
        <w:rPr>
          <w:rFonts w:hint="eastAsia"/>
        </w:rPr>
        <w:t xml:space="preserve">In this contribution, </w:t>
      </w:r>
      <w:r>
        <w:t>m</w:t>
      </w:r>
      <w:r>
        <w:rPr>
          <w:rFonts w:hint="eastAsia"/>
        </w:rPr>
        <w:t>ore consideration</w:t>
      </w:r>
      <w:r>
        <w:t>s</w:t>
      </w:r>
      <w:r>
        <w:rPr>
          <w:rFonts w:hint="eastAsia"/>
        </w:rPr>
        <w:t xml:space="preserve"> about </w:t>
      </w:r>
      <w:r>
        <w:t>XR-specific techniques are provided;</w:t>
      </w:r>
      <w:r>
        <w:rPr>
          <w:rFonts w:hint="eastAsia"/>
        </w:rPr>
        <w:t xml:space="preserve"> </w:t>
      </w:r>
      <w:r>
        <w:t>w</w:t>
      </w:r>
      <w:r>
        <w:rPr>
          <w:rFonts w:hint="eastAsia"/>
        </w:rPr>
        <w:t>e have the following observations and proposals.</w:t>
      </w:r>
    </w:p>
    <w:p>
      <w:pPr>
        <w:pStyle w:val="21"/>
        <w:tabs>
          <w:tab w:val="right" w:leader="dot" w:pos="9660"/>
          <w:tab w:val="clear" w:pos="0"/>
        </w:tabs>
        <w:spacing w:before="120" w:after="120"/>
        <w:jc w:val="both"/>
      </w:pPr>
      <w:r>
        <w:rPr>
          <w:sz w:val="21"/>
          <w:szCs w:val="22"/>
        </w:rPr>
        <w:fldChar w:fldCharType="begin"/>
      </w:r>
      <w:r>
        <w:rPr>
          <w:sz w:val="21"/>
          <w:szCs w:val="22"/>
        </w:rPr>
        <w:instrText xml:space="preserve">TOC \n  \t "YJ-Observation,1,sub-observation,2,3rd level observation,3" \h</w:instrText>
      </w:r>
      <w:r>
        <w:rPr>
          <w:sz w:val="21"/>
          <w:szCs w:val="22"/>
        </w:rPr>
        <w:fldChar w:fldCharType="separate"/>
      </w:r>
      <w:r>
        <w:fldChar w:fldCharType="begin"/>
      </w:r>
      <w:r>
        <w:instrText xml:space="preserve"> HYPERLINK \l "_Toc18435" </w:instrText>
      </w:r>
      <w:r>
        <w:fldChar w:fldCharType="separate"/>
      </w:r>
      <w:r>
        <w:rPr>
          <w:rFonts w:eastAsia="宋体"/>
          <w:i w:val="0"/>
          <w:iCs w:val="0"/>
          <w:szCs w:val="21"/>
        </w:rPr>
        <w:t xml:space="preserve">Observation 1: </w:t>
      </w:r>
      <w:r>
        <w:rPr>
          <w:i w:val="0"/>
          <w:iCs w:val="0"/>
        </w:rPr>
        <w:t>For FR1 InH UL,low load, compared to scheme that UE can always transmit UL signal,the power saving gain of proposed scheme(UL active time) is in the range of {13.67%, 19%} without satisfied UE loss.</w:t>
      </w:r>
      <w:r>
        <w:rPr>
          <w:i w:val="0"/>
          <w:iCs w:val="0"/>
        </w:rPr>
        <w:fldChar w:fldCharType="end"/>
      </w:r>
      <w:r>
        <w:fldChar w:fldCharType="begin"/>
      </w:r>
      <w:r>
        <w:instrText xml:space="preserve"> HYPERLINK \l "_Toc3919" </w:instrText>
      </w:r>
      <w:r>
        <w:fldChar w:fldCharType="separate"/>
      </w:r>
      <w:r>
        <w:fldChar w:fldCharType="end"/>
      </w:r>
      <w:r>
        <w:fldChar w:fldCharType="begin"/>
      </w:r>
      <w:r>
        <w:instrText xml:space="preserve"> HYPERLINK \l "_Toc18223" </w:instrText>
      </w:r>
      <w:r>
        <w:fldChar w:fldCharType="separate"/>
      </w:r>
      <w:r>
        <w:fldChar w:fldCharType="end"/>
      </w:r>
    </w:p>
    <w:p>
      <w:pPr>
        <w:pStyle w:val="21"/>
        <w:tabs>
          <w:tab w:val="right" w:leader="dot" w:pos="9660"/>
          <w:tab w:val="clear" w:pos="0"/>
        </w:tabs>
        <w:spacing w:before="120" w:after="120"/>
        <w:jc w:val="both"/>
      </w:pPr>
      <w:r>
        <w:fldChar w:fldCharType="begin"/>
      </w:r>
      <w:r>
        <w:instrText xml:space="preserve"> HYPERLINK \l "_Toc12278" </w:instrText>
      </w:r>
      <w:r>
        <w:fldChar w:fldCharType="separate"/>
      </w:r>
      <w:r>
        <w:rPr>
          <w:rFonts w:eastAsia="宋体"/>
          <w:i w:val="0"/>
          <w:iCs w:val="0"/>
          <w:szCs w:val="21"/>
        </w:rPr>
        <w:t xml:space="preserve">Observation 2: </w:t>
      </w:r>
      <w:r>
        <w:rPr>
          <w:i w:val="0"/>
          <w:iCs w:val="0"/>
        </w:rPr>
        <w:t>For FR1 DU UL,low load, compared to scheme that UE can always transmit UL signal, the power saving gain of proposed scheme(UL active time) is in the range of {13.2%, 14.3%} without satisfied UE loss.</w:t>
      </w:r>
      <w:r>
        <w:rPr>
          <w:i w:val="0"/>
          <w:iCs w:val="0"/>
        </w:rPr>
        <w:fldChar w:fldCharType="end"/>
      </w:r>
      <w:r>
        <w:fldChar w:fldCharType="begin"/>
      </w:r>
      <w:r>
        <w:instrText xml:space="preserve"> HYPERLINK \l "_Toc22363" </w:instrText>
      </w:r>
      <w:r>
        <w:fldChar w:fldCharType="separate"/>
      </w:r>
      <w:r>
        <w:fldChar w:fldCharType="end"/>
      </w:r>
      <w:r>
        <w:fldChar w:fldCharType="begin"/>
      </w:r>
      <w:r>
        <w:instrText xml:space="preserve"> HYPERLINK \l "_Toc17202" </w:instrText>
      </w:r>
      <w:r>
        <w:fldChar w:fldCharType="separate"/>
      </w:r>
      <w:r>
        <w:fldChar w:fldCharType="end"/>
      </w:r>
    </w:p>
    <w:p>
      <w:pPr>
        <w:pStyle w:val="21"/>
        <w:tabs>
          <w:tab w:val="right" w:leader="dot" w:pos="9660"/>
          <w:tab w:val="clear" w:pos="0"/>
        </w:tabs>
        <w:spacing w:before="120" w:after="120"/>
        <w:jc w:val="both"/>
      </w:pPr>
      <w:r>
        <w:fldChar w:fldCharType="begin"/>
      </w:r>
      <w:r>
        <w:instrText xml:space="preserve"> HYPERLINK \l "_Toc1031" </w:instrText>
      </w:r>
      <w:r>
        <w:fldChar w:fldCharType="separate"/>
      </w:r>
      <w:r>
        <w:rPr>
          <w:rFonts w:eastAsia="宋体"/>
          <w:i w:val="0"/>
          <w:iCs w:val="0"/>
          <w:szCs w:val="21"/>
        </w:rPr>
        <w:t xml:space="preserve">Observation 3: </w:t>
      </w:r>
      <w:r>
        <w:rPr>
          <w:i w:val="0"/>
          <w:iCs w:val="0"/>
        </w:rPr>
        <w:t>For FR1 InH UL, low load, compared to scheme that UE can always transmit UL signal, the power saving gain of proposed scheme(SR group switching) is in the range of {12%, 12.1%} without satisfied UE loss.</w:t>
      </w:r>
      <w:r>
        <w:rPr>
          <w:i w:val="0"/>
          <w:iCs w:val="0"/>
        </w:rPr>
        <w:fldChar w:fldCharType="end"/>
      </w:r>
      <w:r>
        <w:fldChar w:fldCharType="begin"/>
      </w:r>
      <w:r>
        <w:instrText xml:space="preserve"> HYPERLINK \l "_Toc29999" </w:instrText>
      </w:r>
      <w:r>
        <w:fldChar w:fldCharType="separate"/>
      </w:r>
      <w:r>
        <w:fldChar w:fldCharType="end"/>
      </w:r>
    </w:p>
    <w:p>
      <w:pPr>
        <w:pStyle w:val="21"/>
        <w:tabs>
          <w:tab w:val="right" w:leader="dot" w:pos="9660"/>
          <w:tab w:val="clear" w:pos="0"/>
        </w:tabs>
        <w:spacing w:before="120" w:after="120"/>
        <w:jc w:val="both"/>
      </w:pPr>
      <w:r>
        <w:fldChar w:fldCharType="begin"/>
      </w:r>
      <w:r>
        <w:instrText xml:space="preserve"> HYPERLINK \l "_Toc1202" </w:instrText>
      </w:r>
      <w:r>
        <w:fldChar w:fldCharType="separate"/>
      </w:r>
      <w:r>
        <w:rPr>
          <w:rFonts w:eastAsia="宋体"/>
          <w:i w:val="0"/>
          <w:iCs w:val="0"/>
          <w:szCs w:val="21"/>
        </w:rPr>
        <w:t xml:space="preserve">Observation 4: </w:t>
      </w:r>
      <w:r>
        <w:rPr>
          <w:i w:val="0"/>
          <w:iCs w:val="0"/>
        </w:rPr>
        <w:t>For FR1 DU UL, low load, compared to scheme that UE can always transmit UL signal, the power saving gain of proposed scheme(SR group switching) is in the range of {11.37%, 11.4%} without satisfied UE loss.</w:t>
      </w:r>
      <w:r>
        <w:rPr>
          <w:i w:val="0"/>
          <w:iCs w:val="0"/>
        </w:rPr>
        <w:fldChar w:fldCharType="end"/>
      </w:r>
    </w:p>
    <w:p>
      <w:pPr>
        <w:pStyle w:val="21"/>
        <w:tabs>
          <w:tab w:val="right" w:leader="dot" w:pos="9660"/>
          <w:tab w:val="clear" w:pos="0"/>
        </w:tabs>
        <w:jc w:val="both"/>
      </w:pPr>
      <w:r>
        <w:rPr>
          <w:szCs w:val="22"/>
        </w:rPr>
        <w:fldChar w:fldCharType="end"/>
      </w:r>
    </w:p>
    <w:p>
      <w:pPr>
        <w:pStyle w:val="21"/>
        <w:tabs>
          <w:tab w:val="right" w:leader="dot" w:pos="9660"/>
          <w:tab w:val="clear" w:pos="0"/>
        </w:tabs>
        <w:spacing w:before="120" w:after="120"/>
        <w:jc w:val="both"/>
        <w:rPr>
          <w:szCs w:val="22"/>
        </w:rPr>
      </w:pPr>
      <w:r>
        <w:fldChar w:fldCharType="begin"/>
      </w:r>
      <w:r>
        <w:instrText xml:space="preserve">TOC \n  \t "YJ-Proposal,1,sub-proposal,2,3rd level proposal,3" \h</w:instrText>
      </w:r>
      <w:r>
        <w:fldChar w:fldCharType="separate"/>
      </w:r>
      <w:r>
        <w:fldChar w:fldCharType="begin"/>
      </w:r>
      <w:r>
        <w:instrText xml:space="preserve"> HYPERLINK \l "_Toc2342" </w:instrText>
      </w:r>
      <w:r>
        <w:fldChar w:fldCharType="separate"/>
      </w:r>
      <w:r>
        <w:rPr>
          <w:rFonts w:eastAsia="宋体"/>
          <w:i w:val="0"/>
          <w:iCs w:val="0"/>
        </w:rPr>
        <w:t xml:space="preserve">Proposal 1: </w:t>
      </w:r>
      <w:r>
        <w:rPr>
          <w:rFonts w:hint="eastAsia"/>
          <w:i w:val="0"/>
          <w:iCs w:val="0"/>
        </w:rPr>
        <w:t>UE assistance information like, orientation information, data amount, periodicity and priority can be considered.</w:t>
      </w:r>
      <w:r>
        <w:rPr>
          <w:rFonts w:hint="eastAsia"/>
          <w:i w:val="0"/>
          <w:iCs w:val="0"/>
        </w:rPr>
        <w:fldChar w:fldCharType="end"/>
      </w:r>
    </w:p>
    <w:p>
      <w:pPr>
        <w:pStyle w:val="21"/>
        <w:tabs>
          <w:tab w:val="right" w:leader="dot" w:pos="9660"/>
          <w:tab w:val="clear" w:pos="0"/>
        </w:tabs>
        <w:spacing w:before="120" w:after="120"/>
        <w:jc w:val="both"/>
      </w:pPr>
      <w:r>
        <w:fldChar w:fldCharType="begin"/>
      </w:r>
      <w:r>
        <w:instrText xml:space="preserve"> HYPERLINK \l "_Toc2006" </w:instrText>
      </w:r>
      <w:r>
        <w:fldChar w:fldCharType="separate"/>
      </w:r>
      <w:r>
        <w:rPr>
          <w:rFonts w:eastAsia="宋体"/>
          <w:i w:val="0"/>
          <w:iCs w:val="0"/>
        </w:rPr>
        <w:t xml:space="preserve">Proposal 2: </w:t>
      </w:r>
      <w:r>
        <w:rPr>
          <w:rFonts w:hint="eastAsia"/>
          <w:i w:val="0"/>
          <w:iCs w:val="0"/>
        </w:rPr>
        <w:t>Enhanced SR/BSR can be considered to convey the assistance information</w:t>
      </w:r>
      <w:r>
        <w:rPr>
          <w:rFonts w:hint="eastAsia"/>
          <w:i w:val="0"/>
          <w:iCs w:val="0"/>
        </w:rPr>
        <w:fldChar w:fldCharType="end"/>
      </w:r>
    </w:p>
    <w:p>
      <w:pPr>
        <w:pStyle w:val="21"/>
        <w:tabs>
          <w:tab w:val="right" w:leader="dot" w:pos="9660"/>
          <w:tab w:val="clear" w:pos="0"/>
        </w:tabs>
        <w:spacing w:before="120" w:after="120"/>
        <w:jc w:val="both"/>
      </w:pPr>
      <w:r>
        <w:fldChar w:fldCharType="begin"/>
      </w:r>
      <w:r>
        <w:instrText xml:space="preserve"> HYPERLINK \l "_Toc21711" </w:instrText>
      </w:r>
      <w:r>
        <w:fldChar w:fldCharType="separate"/>
      </w:r>
      <w:r>
        <w:rPr>
          <w:rFonts w:eastAsia="宋体"/>
          <w:i w:val="0"/>
          <w:iCs w:val="0"/>
        </w:rPr>
        <w:t xml:space="preserve">Proposal 3: </w:t>
      </w:r>
      <w:r>
        <w:rPr>
          <w:i w:val="0"/>
          <w:iCs w:val="0"/>
        </w:rPr>
        <w:t>An UL active time used to confine the UL transmission can be considered for UL power saving.</w:t>
      </w:r>
      <w:r>
        <w:rPr>
          <w:i w:val="0"/>
          <w:iCs w:val="0"/>
        </w:rPr>
        <w:fldChar w:fldCharType="end"/>
      </w:r>
    </w:p>
    <w:p>
      <w:pPr>
        <w:pStyle w:val="21"/>
        <w:tabs>
          <w:tab w:val="right" w:leader="dot" w:pos="9660"/>
          <w:tab w:val="clear" w:pos="0"/>
        </w:tabs>
        <w:spacing w:before="120" w:after="120"/>
        <w:jc w:val="both"/>
      </w:pPr>
      <w:r>
        <w:fldChar w:fldCharType="begin"/>
      </w:r>
      <w:r>
        <w:instrText xml:space="preserve"> HYPERLINK \l "_Toc8316" </w:instrText>
      </w:r>
      <w:r>
        <w:fldChar w:fldCharType="separate"/>
      </w:r>
      <w:r>
        <w:rPr>
          <w:rFonts w:eastAsia="宋体"/>
          <w:i w:val="0"/>
          <w:iCs w:val="0"/>
        </w:rPr>
        <w:t xml:space="preserve">Proposal 4: </w:t>
      </w:r>
      <w:r>
        <w:rPr>
          <w:rFonts w:hint="eastAsia"/>
          <w:i w:val="0"/>
          <w:iCs w:val="0"/>
        </w:rPr>
        <w:t>SR resource switching can be considered for uplink power saving.</w:t>
      </w:r>
      <w:r>
        <w:rPr>
          <w:rFonts w:hint="eastAsia"/>
          <w:i w:val="0"/>
          <w:iCs w:val="0"/>
        </w:rPr>
        <w:fldChar w:fldCharType="end"/>
      </w:r>
    </w:p>
    <w:p>
      <w:pPr>
        <w:spacing w:before="120" w:after="120"/>
        <w:rPr>
          <w:lang w:val="en-GB"/>
        </w:rPr>
      </w:pPr>
      <w:r>
        <w:fldChar w:fldCharType="end"/>
      </w:r>
    </w:p>
    <w:p>
      <w:pPr>
        <w:pStyle w:val="2"/>
        <w:spacing w:before="120" w:after="120"/>
        <w:ind w:left="0"/>
        <w:rPr>
          <w:rFonts w:ascii="Times New Roman" w:hAnsi="Times New Roman" w:eastAsia="宋体"/>
          <w:b/>
          <w:bCs/>
          <w:sz w:val="24"/>
          <w:szCs w:val="24"/>
        </w:rPr>
      </w:pPr>
      <w:r>
        <w:rPr>
          <w:rFonts w:ascii="Times New Roman" w:hAnsi="Times New Roman" w:eastAsia="宋体"/>
          <w:b/>
          <w:bCs/>
          <w:sz w:val="24"/>
          <w:szCs w:val="24"/>
        </w:rPr>
        <w:t>References</w:t>
      </w:r>
    </w:p>
    <w:p>
      <w:pPr>
        <w:pStyle w:val="44"/>
        <w:numPr>
          <w:ilvl w:val="0"/>
          <w:numId w:val="11"/>
        </w:numPr>
        <w:spacing w:before="120" w:after="120"/>
        <w:rPr>
          <w:sz w:val="20"/>
          <w:szCs w:val="20"/>
        </w:rPr>
      </w:pPr>
      <w:bookmarkStart w:id="46" w:name="_Ref17466"/>
      <w:r>
        <w:rPr>
          <w:sz w:val="20"/>
          <w:szCs w:val="20"/>
        </w:rPr>
        <w:t>S4aV200614. “</w:t>
      </w:r>
      <w:r>
        <w:rPr>
          <w:rFonts w:hint="default"/>
          <w:sz w:val="20"/>
          <w:szCs w:val="20"/>
        </w:rPr>
        <w:t>Proposed</w:t>
      </w:r>
      <w:bookmarkStart w:id="47" w:name="OLE_LINK1"/>
      <w:r>
        <w:rPr>
          <w:rFonts w:hint="default"/>
          <w:sz w:val="20"/>
          <w:szCs w:val="20"/>
        </w:rPr>
        <w:t xml:space="preserve"> Updated Modelling for Viewport Dependent 3DoF Streaming</w:t>
      </w:r>
      <w:bookmarkEnd w:id="47"/>
      <w:r>
        <w:rPr>
          <w:rFonts w:hint="default"/>
          <w:sz w:val="20"/>
          <w:szCs w:val="20"/>
        </w:rPr>
        <w:t>” ModellingHiSilicon, 3GPP SA4-Post-111e, 22 December 2020.</w:t>
      </w:r>
    </w:p>
    <w:p>
      <w:pPr>
        <w:pStyle w:val="44"/>
        <w:numPr>
          <w:ilvl w:val="0"/>
          <w:numId w:val="11"/>
        </w:numPr>
        <w:spacing w:before="120" w:after="120"/>
        <w:rPr>
          <w:sz w:val="20"/>
          <w:szCs w:val="20"/>
        </w:rPr>
      </w:pPr>
      <w:r>
        <w:rPr>
          <w:rFonts w:hint="default"/>
          <w:sz w:val="20"/>
          <w:szCs w:val="20"/>
        </w:rPr>
        <w:t xml:space="preserve">R1-2203591. </w:t>
      </w:r>
      <w:r>
        <w:rPr>
          <w:sz w:val="20"/>
          <w:szCs w:val="20"/>
        </w:rPr>
        <w:t>“</w:t>
      </w:r>
      <w:r>
        <w:rPr>
          <w:rFonts w:hint="default"/>
          <w:sz w:val="20"/>
          <w:szCs w:val="20"/>
        </w:rPr>
        <w:t>Discussion on UE Power Saving for XR and Media Services.</w:t>
      </w:r>
      <w:r>
        <w:rPr>
          <w:sz w:val="20"/>
          <w:szCs w:val="20"/>
        </w:rPr>
        <w:t>”</w:t>
      </w:r>
      <w:r>
        <w:rPr>
          <w:rFonts w:hint="default"/>
          <w:sz w:val="20"/>
          <w:szCs w:val="20"/>
        </w:rPr>
        <w:t>, ZTE, Sanechips, 3GPP TSG RAN WG1 #109-e May 16th-23th, 2022.</w:t>
      </w:r>
    </w:p>
    <w:bookmarkEnd w:id="46"/>
    <w:p>
      <w:pPr>
        <w:pStyle w:val="2"/>
        <w:numPr>
          <w:ilvl w:val="0"/>
          <w:numId w:val="0"/>
        </w:numPr>
        <w:spacing w:before="120" w:after="120"/>
        <w:rPr>
          <w:rFonts w:eastAsia="宋体"/>
        </w:rPr>
      </w:pPr>
      <w:r>
        <w:rPr>
          <w:rFonts w:hint="eastAsia" w:eastAsia="宋体"/>
        </w:rPr>
        <w:t xml:space="preserve">Appendix </w:t>
      </w:r>
    </w:p>
    <w:p>
      <w:pPr>
        <w:pStyle w:val="3"/>
        <w:numPr>
          <w:ilvl w:val="0"/>
          <w:numId w:val="0"/>
        </w:numPr>
        <w:spacing w:before="120" w:after="120"/>
        <w:ind w:right="210"/>
        <w:rPr>
          <w:rFonts w:ascii="Times New Roman" w:hAnsi="Times New Roman"/>
        </w:rPr>
      </w:pPr>
      <w:r>
        <w:rPr>
          <w:rFonts w:hint="eastAsia" w:eastAsia="宋体"/>
        </w:rPr>
        <w:t>A Simulation Parameters</w:t>
      </w:r>
      <w:bookmarkStart w:id="48" w:name="_Ref9233"/>
      <w:bookmarkStart w:id="49" w:name="OLE_LINK19"/>
      <w:bookmarkStart w:id="50" w:name="OLE_LINK18"/>
    </w:p>
    <w:p>
      <w:pPr>
        <w:pStyle w:val="14"/>
        <w:spacing w:before="120" w:after="120" w:line="276" w:lineRule="auto"/>
        <w:jc w:val="center"/>
        <w:rPr>
          <w:rFonts w:ascii="Times New Roman" w:hAnsi="Times New Roman" w:eastAsia="宋体"/>
        </w:rPr>
      </w:pPr>
      <w:r>
        <w:rPr>
          <w:rFonts w:ascii="Times New Roman" w:hAnsi="Times New Roman"/>
        </w:rPr>
        <w:t xml:space="preserve">Table </w:t>
      </w:r>
      <w:r>
        <w:rPr>
          <w:rFonts w:hint="eastAsia" w:ascii="Times New Roman" w:hAnsi="Times New Roman"/>
        </w:rPr>
        <w:t>A</w:t>
      </w:r>
      <w:bookmarkEnd w:id="48"/>
      <w:r>
        <w:rPr>
          <w:rFonts w:ascii="Times New Roman" w:hAnsi="Times New Roman" w:eastAsia="宋体"/>
        </w:rPr>
        <w:t xml:space="preserve"> Simulation assumption for FR1 UL</w:t>
      </w:r>
    </w:p>
    <w:tbl>
      <w:tblPr>
        <w:tblStyle w:val="28"/>
        <w:tblW w:w="98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1"/>
        <w:gridCol w:w="4000"/>
        <w:gridCol w:w="37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1" w:type="dxa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120" w:after="120"/>
              <w:jc w:val="center"/>
              <w:rPr>
                <w:rFonts w:eastAsiaTheme="minorEastAsia"/>
                <w:b/>
                <w:sz w:val="20"/>
              </w:rPr>
            </w:pPr>
            <w:r>
              <w:rPr>
                <w:rFonts w:eastAsiaTheme="minorEastAsia"/>
                <w:b/>
                <w:sz w:val="20"/>
              </w:rPr>
              <w:t>Parameter</w:t>
            </w:r>
          </w:p>
        </w:tc>
        <w:tc>
          <w:tcPr>
            <w:tcW w:w="7763" w:type="dxa"/>
            <w:gridSpan w:val="2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120" w:after="120"/>
              <w:jc w:val="center"/>
              <w:rPr>
                <w:rFonts w:eastAsiaTheme="minorEastAsia"/>
                <w:b/>
                <w:sz w:val="20"/>
              </w:rPr>
            </w:pPr>
            <w:r>
              <w:rPr>
                <w:rFonts w:eastAsiaTheme="minorEastAsia"/>
                <w:b/>
                <w:sz w:val="20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1" w:type="dxa"/>
            <w:shd w:val="clear" w:color="auto" w:fill="auto"/>
            <w:vAlign w:val="center"/>
          </w:tcPr>
          <w:p>
            <w:pPr>
              <w:widowControl w:val="0"/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Scenarios</w:t>
            </w:r>
          </w:p>
        </w:tc>
        <w:tc>
          <w:tcPr>
            <w:tcW w:w="4000" w:type="dxa"/>
            <w:shd w:val="clear" w:color="auto" w:fill="auto"/>
            <w:vAlign w:val="center"/>
          </w:tcPr>
          <w:p>
            <w:pPr>
              <w:widowControl w:val="0"/>
              <w:spacing w:before="120" w:after="120"/>
              <w:rPr>
                <w:sz w:val="20"/>
              </w:rPr>
            </w:pPr>
            <w:r>
              <w:rPr>
                <w:rFonts w:eastAsiaTheme="minorEastAsia"/>
                <w:sz w:val="20"/>
              </w:rPr>
              <w:t>Scenario-1: Indoor Hotspot</w:t>
            </w:r>
            <w:r>
              <w:rPr>
                <w:sz w:val="20"/>
              </w:rPr>
              <w:t xml:space="preserve"> </w:t>
            </w:r>
          </w:p>
          <w:p>
            <w:pPr>
              <w:widowControl w:val="0"/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12 nodes in 50 m x 120 m</w:t>
            </w:r>
          </w:p>
        </w:tc>
        <w:tc>
          <w:tcPr>
            <w:tcW w:w="3763" w:type="dxa"/>
            <w:shd w:val="clear" w:color="auto" w:fill="auto"/>
            <w:vAlign w:val="center"/>
          </w:tcPr>
          <w:p>
            <w:pPr>
              <w:widowControl w:val="0"/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hint="eastAsia" w:eastAsiaTheme="minorEastAsia"/>
                <w:sz w:val="20"/>
              </w:rPr>
              <w:t>Scenario-2 : Dense Urban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1" w:type="dxa"/>
            <w:shd w:val="clear" w:color="auto" w:fill="auto"/>
            <w:vAlign w:val="center"/>
          </w:tcPr>
          <w:p>
            <w:pPr>
              <w:widowControl w:val="0"/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Carrier frequency</w:t>
            </w:r>
          </w:p>
        </w:tc>
        <w:tc>
          <w:tcPr>
            <w:tcW w:w="7763" w:type="dxa"/>
            <w:gridSpan w:val="2"/>
            <w:shd w:val="clear" w:color="auto" w:fill="auto"/>
            <w:vAlign w:val="center"/>
          </w:tcPr>
          <w:p>
            <w:pPr>
              <w:widowControl w:val="0"/>
              <w:spacing w:before="120" w:after="120"/>
              <w:rPr>
                <w:sz w:val="20"/>
              </w:rPr>
            </w:pPr>
            <w:r>
              <w:rPr>
                <w:sz w:val="20"/>
              </w:rPr>
              <w:t>4GHz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1" w:type="dxa"/>
            <w:shd w:val="clear" w:color="auto" w:fill="auto"/>
            <w:vAlign w:val="center"/>
          </w:tcPr>
          <w:p>
            <w:pPr>
              <w:widowControl w:val="0"/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 xml:space="preserve">Bandwidth </w:t>
            </w:r>
          </w:p>
        </w:tc>
        <w:tc>
          <w:tcPr>
            <w:tcW w:w="7763" w:type="dxa"/>
            <w:gridSpan w:val="2"/>
            <w:shd w:val="clear" w:color="auto" w:fill="auto"/>
            <w:vAlign w:val="center"/>
          </w:tcPr>
          <w:p>
            <w:pPr>
              <w:widowControl w:val="0"/>
              <w:spacing w:before="120" w:after="120"/>
              <w:rPr>
                <w:sz w:val="20"/>
              </w:rPr>
            </w:pPr>
            <w:r>
              <w:rPr>
                <w:sz w:val="20"/>
              </w:rPr>
              <w:t>100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1" w:type="dxa"/>
            <w:shd w:val="clear" w:color="auto" w:fill="auto"/>
            <w:vAlign w:val="center"/>
          </w:tcPr>
          <w:p>
            <w:pPr>
              <w:widowControl w:val="0"/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Subcarrier spacing</w:t>
            </w:r>
          </w:p>
        </w:tc>
        <w:tc>
          <w:tcPr>
            <w:tcW w:w="7763" w:type="dxa"/>
            <w:gridSpan w:val="2"/>
            <w:shd w:val="clear" w:color="auto" w:fill="auto"/>
            <w:vAlign w:val="center"/>
          </w:tcPr>
          <w:p>
            <w:pPr>
              <w:widowControl w:val="0"/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30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1" w:type="dxa"/>
            <w:shd w:val="clear" w:color="auto" w:fill="auto"/>
            <w:vAlign w:val="center"/>
          </w:tcPr>
          <w:p>
            <w:pPr>
              <w:widowControl w:val="0"/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Frame structure</w:t>
            </w:r>
          </w:p>
        </w:tc>
        <w:tc>
          <w:tcPr>
            <w:tcW w:w="7763" w:type="dxa"/>
            <w:gridSpan w:val="2"/>
            <w:shd w:val="clear" w:color="auto" w:fill="auto"/>
            <w:vAlign w:val="center"/>
          </w:tcPr>
          <w:p>
            <w:pPr>
              <w:widowControl w:val="0"/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 xml:space="preserve">DDDSU (S: 10D:2G:2U)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1" w:type="dxa"/>
            <w:shd w:val="clear" w:color="auto" w:fill="auto"/>
            <w:vAlign w:val="center"/>
          </w:tcPr>
          <w:p>
            <w:pPr>
              <w:widowControl w:val="0"/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 xml:space="preserve">BS Antennas </w:t>
            </w:r>
          </w:p>
          <w:p>
            <w:pPr>
              <w:widowControl w:val="0"/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(M,N,P,Mg,Ng;Mp,Np)</w:t>
            </w:r>
          </w:p>
        </w:tc>
        <w:tc>
          <w:tcPr>
            <w:tcW w:w="4000" w:type="dxa"/>
            <w:shd w:val="clear" w:color="auto" w:fill="auto"/>
            <w:vAlign w:val="center"/>
          </w:tcPr>
          <w:p>
            <w:pPr>
              <w:widowControl w:val="0"/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For 32R: (4,4,2,1,1;4,4)</w:t>
            </w:r>
          </w:p>
          <w:p>
            <w:pPr>
              <w:widowControl w:val="0"/>
              <w:spacing w:before="120" w:after="120"/>
              <w:rPr>
                <w:rFonts w:eastAsiaTheme="minorEastAsia"/>
                <w:sz w:val="20"/>
              </w:rPr>
            </w:pPr>
            <w:r>
              <w:rPr>
                <w:sz w:val="20"/>
              </w:rPr>
              <w:t>(dH,dV) = (0.5, 0.5)λ</w:t>
            </w:r>
          </w:p>
        </w:tc>
        <w:tc>
          <w:tcPr>
            <w:tcW w:w="3763" w:type="dxa"/>
            <w:shd w:val="clear" w:color="auto" w:fill="auto"/>
            <w:vAlign w:val="center"/>
          </w:tcPr>
          <w:p>
            <w:pPr>
              <w:widowControl w:val="0"/>
              <w:spacing w:before="120" w:after="120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sz w:val="20"/>
              </w:rPr>
              <w:t>For 64R:</w:t>
            </w:r>
            <w:r>
              <w:rPr>
                <w:color w:val="000000"/>
                <w:kern w:val="0"/>
                <w:sz w:val="20"/>
              </w:rPr>
              <w:t xml:space="preserve"> (8,8, 2, 1, 1; 4, 8)</w:t>
            </w:r>
          </w:p>
          <w:p>
            <w:pPr>
              <w:widowControl w:val="0"/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(dH,dV) 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Style w:val="82"/>
              </w:rPr>
              <w:t>= (0.5λ, 0.5λ)</w:t>
            </w:r>
            <w:r>
              <w:rPr>
                <w:color w:val="000000"/>
                <w:kern w:val="0"/>
                <w:sz w:val="20"/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1" w:type="dxa"/>
            <w:shd w:val="clear" w:color="auto" w:fill="auto"/>
            <w:vAlign w:val="center"/>
          </w:tcPr>
          <w:p>
            <w:pPr>
              <w:widowControl w:val="0"/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 xml:space="preserve">UE Antennas </w:t>
            </w:r>
          </w:p>
          <w:p>
            <w:pPr>
              <w:widowControl w:val="0"/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(M,N,P,Mg,Ng;Mp,Np)</w:t>
            </w:r>
          </w:p>
        </w:tc>
        <w:tc>
          <w:tcPr>
            <w:tcW w:w="7763" w:type="dxa"/>
            <w:gridSpan w:val="2"/>
            <w:shd w:val="clear" w:color="auto" w:fill="auto"/>
            <w:vAlign w:val="center"/>
          </w:tcPr>
          <w:p>
            <w:pPr>
              <w:widowControl w:val="0"/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For 2T: (1,1,2,1,1;1,1)</w:t>
            </w:r>
          </w:p>
          <w:p>
            <w:pPr>
              <w:widowControl w:val="0"/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(dH, dV)=( 0.5, N/A)λ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1" w:type="dxa"/>
            <w:shd w:val="clear" w:color="auto" w:fill="auto"/>
            <w:vAlign w:val="center"/>
          </w:tcPr>
          <w:p>
            <w:pPr>
              <w:widowControl w:val="0"/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BS antenna pattern</w:t>
            </w:r>
          </w:p>
        </w:tc>
        <w:tc>
          <w:tcPr>
            <w:tcW w:w="4000" w:type="dxa"/>
            <w:shd w:val="clear" w:color="auto" w:fill="auto"/>
            <w:vAlign w:val="center"/>
          </w:tcPr>
          <w:p>
            <w:pPr>
              <w:widowControl w:val="0"/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Ceiling-mount pattern, 5 dBi</w:t>
            </w:r>
          </w:p>
        </w:tc>
        <w:tc>
          <w:tcPr>
            <w:tcW w:w="3763" w:type="dxa"/>
            <w:shd w:val="clear" w:color="auto" w:fill="auto"/>
            <w:vAlign w:val="center"/>
          </w:tcPr>
          <w:p>
            <w:pPr>
              <w:widowControl w:val="0"/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 xml:space="preserve">Ceiling-mount pattern, </w:t>
            </w:r>
            <w:r>
              <w:rPr>
                <w:rFonts w:hint="eastAsia" w:eastAsiaTheme="minorEastAsia"/>
                <w:sz w:val="20"/>
              </w:rPr>
              <w:t xml:space="preserve">8 </w:t>
            </w:r>
            <w:r>
              <w:rPr>
                <w:rFonts w:eastAsiaTheme="minorEastAsia"/>
                <w:sz w:val="20"/>
              </w:rPr>
              <w:t>dBi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1" w:type="dxa"/>
            <w:shd w:val="clear" w:color="auto" w:fill="auto"/>
            <w:vAlign w:val="center"/>
          </w:tcPr>
          <w:p>
            <w:pPr>
              <w:widowControl w:val="0"/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UE antenna pattern</w:t>
            </w:r>
          </w:p>
        </w:tc>
        <w:tc>
          <w:tcPr>
            <w:tcW w:w="4000" w:type="dxa"/>
            <w:shd w:val="clear" w:color="auto" w:fill="auto"/>
            <w:vAlign w:val="center"/>
          </w:tcPr>
          <w:p>
            <w:pPr>
              <w:widowControl w:val="0"/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Omnidirectional, 0 dBi</w:t>
            </w:r>
          </w:p>
        </w:tc>
        <w:tc>
          <w:tcPr>
            <w:tcW w:w="3763" w:type="dxa"/>
            <w:shd w:val="clear" w:color="auto" w:fill="auto"/>
            <w:vAlign w:val="center"/>
          </w:tcPr>
          <w:p>
            <w:pPr>
              <w:widowControl w:val="0"/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Omnidirectional, 0 dBi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1" w:type="dxa"/>
            <w:shd w:val="clear" w:color="auto" w:fill="auto"/>
            <w:vAlign w:val="center"/>
          </w:tcPr>
          <w:p>
            <w:pPr>
              <w:widowControl w:val="0"/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UE max Power</w:t>
            </w:r>
          </w:p>
        </w:tc>
        <w:tc>
          <w:tcPr>
            <w:tcW w:w="7763" w:type="dxa"/>
            <w:gridSpan w:val="2"/>
            <w:shd w:val="clear" w:color="auto" w:fill="auto"/>
            <w:vAlign w:val="center"/>
          </w:tcPr>
          <w:p>
            <w:pPr>
              <w:widowControl w:val="0"/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 xml:space="preserve">23 dBm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1" w:type="dxa"/>
            <w:shd w:val="clear" w:color="auto" w:fill="auto"/>
            <w:vAlign w:val="center"/>
          </w:tcPr>
          <w:p>
            <w:pPr>
              <w:widowControl w:val="0"/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Power control</w:t>
            </w:r>
          </w:p>
        </w:tc>
        <w:tc>
          <w:tcPr>
            <w:tcW w:w="7763" w:type="dxa"/>
            <w:gridSpan w:val="2"/>
            <w:shd w:val="clear" w:color="auto" w:fill="auto"/>
            <w:vAlign w:val="center"/>
          </w:tcPr>
          <w:p>
            <w:pPr>
              <w:widowControl w:val="0"/>
              <w:spacing w:before="120" w:after="120"/>
              <w:rPr>
                <w:rFonts w:eastAsiaTheme="minorEastAsia"/>
                <w:sz w:val="20"/>
              </w:rPr>
            </w:pPr>
            <w:bookmarkStart w:id="51" w:name="OLE_LINK4"/>
            <w:bookmarkStart w:id="52" w:name="OLE_LINK6"/>
            <w:r>
              <w:rPr>
                <w:rFonts w:eastAsiaTheme="minorEastAsia"/>
                <w:sz w:val="20"/>
              </w:rPr>
              <w:t>P0 = -80 dBm, alpha = 0.8</w:t>
            </w:r>
            <w:bookmarkEnd w:id="51"/>
            <w:bookmarkEnd w:id="5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1" w:type="dxa"/>
            <w:shd w:val="clear" w:color="auto" w:fill="auto"/>
            <w:vAlign w:val="center"/>
          </w:tcPr>
          <w:p>
            <w:pPr>
              <w:widowControl w:val="0"/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Noise Figure</w:t>
            </w:r>
          </w:p>
        </w:tc>
        <w:tc>
          <w:tcPr>
            <w:tcW w:w="7763" w:type="dxa"/>
            <w:gridSpan w:val="2"/>
            <w:shd w:val="clear" w:color="auto" w:fill="auto"/>
            <w:vAlign w:val="center"/>
          </w:tcPr>
          <w:p>
            <w:pPr>
              <w:widowControl w:val="0"/>
              <w:spacing w:before="120" w:after="120"/>
              <w:rPr>
                <w:color w:val="000000"/>
                <w:kern w:val="0"/>
                <w:sz w:val="20"/>
              </w:rPr>
            </w:pPr>
            <w:r>
              <w:rPr>
                <w:color w:val="000000"/>
                <w:kern w:val="0"/>
                <w:sz w:val="20"/>
              </w:rPr>
              <w:t>5dB for BS and 9dB for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1" w:type="dxa"/>
            <w:shd w:val="clear" w:color="auto" w:fill="auto"/>
            <w:vAlign w:val="center"/>
          </w:tcPr>
          <w:p>
            <w:pPr>
              <w:widowControl w:val="0"/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Scheduler</w:t>
            </w:r>
          </w:p>
        </w:tc>
        <w:tc>
          <w:tcPr>
            <w:tcW w:w="7763" w:type="dxa"/>
            <w:gridSpan w:val="2"/>
            <w:shd w:val="clear" w:color="auto" w:fill="auto"/>
            <w:vAlign w:val="center"/>
          </w:tcPr>
          <w:p>
            <w:pPr>
              <w:widowControl w:val="0"/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PF (support MU-MIMO)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2111" w:type="dxa"/>
            <w:shd w:val="clear" w:color="auto" w:fill="auto"/>
            <w:vAlign w:val="center"/>
          </w:tcPr>
          <w:p>
            <w:pPr>
              <w:widowControl w:val="0"/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Device deployment</w:t>
            </w:r>
          </w:p>
        </w:tc>
        <w:tc>
          <w:tcPr>
            <w:tcW w:w="4000" w:type="dxa"/>
            <w:shd w:val="clear" w:color="auto" w:fill="auto"/>
            <w:vAlign w:val="center"/>
          </w:tcPr>
          <w:p>
            <w:pPr>
              <w:widowControl w:val="0"/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100% indoor</w:t>
            </w:r>
          </w:p>
        </w:tc>
        <w:tc>
          <w:tcPr>
            <w:tcW w:w="3763" w:type="dxa"/>
            <w:shd w:val="clear" w:color="auto" w:fill="auto"/>
            <w:vAlign w:val="center"/>
          </w:tcPr>
          <w:p>
            <w:pPr>
              <w:widowControl w:val="0"/>
              <w:spacing w:before="120" w:after="120"/>
              <w:jc w:val="left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>80% of users are indoor,20%of users are outdoor;</w:t>
            </w:r>
          </w:p>
          <w:p>
            <w:pPr>
              <w:widowControl w:val="0"/>
              <w:spacing w:before="120" w:after="120"/>
              <w:rPr>
                <w:rFonts w:eastAsiaTheme="minorEastAsia"/>
                <w:sz w:val="20"/>
              </w:rPr>
            </w:pPr>
            <w:r>
              <w:rPr>
                <w:color w:val="000000"/>
                <w:kern w:val="0"/>
                <w:sz w:val="20"/>
              </w:rPr>
              <w:t>Use 3km/h for modeling fading channel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1" w:type="dxa"/>
            <w:shd w:val="clear" w:color="auto" w:fill="auto"/>
            <w:vAlign w:val="center"/>
          </w:tcPr>
          <w:p>
            <w:pPr>
              <w:widowControl w:val="0"/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Down-tilt</w:t>
            </w:r>
          </w:p>
        </w:tc>
        <w:tc>
          <w:tcPr>
            <w:tcW w:w="4000" w:type="dxa"/>
            <w:shd w:val="clear" w:color="auto" w:fill="auto"/>
            <w:vAlign w:val="center"/>
          </w:tcPr>
          <w:p>
            <w:pPr>
              <w:widowControl w:val="0"/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90 degrees</w:t>
            </w:r>
          </w:p>
        </w:tc>
        <w:tc>
          <w:tcPr>
            <w:tcW w:w="3763" w:type="dxa"/>
            <w:shd w:val="clear" w:color="auto" w:fill="auto"/>
            <w:vAlign w:val="center"/>
          </w:tcPr>
          <w:p>
            <w:pPr>
              <w:widowControl w:val="0"/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hint="eastAsia" w:eastAsiaTheme="minorEastAsia"/>
                <w:sz w:val="20"/>
              </w:rPr>
              <w:t>12 degrees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1" w:type="dxa"/>
            <w:shd w:val="clear" w:color="auto" w:fill="auto"/>
          </w:tcPr>
          <w:p>
            <w:pPr>
              <w:widowControl w:val="0"/>
              <w:spacing w:before="120" w:after="120"/>
              <w:rPr>
                <w:rFonts w:eastAsiaTheme="minorEastAsia"/>
                <w:sz w:val="20"/>
              </w:rPr>
            </w:pPr>
            <w:r>
              <w:rPr>
                <w:color w:val="000000"/>
                <w:sz w:val="20"/>
              </w:rPr>
              <w:t>BS receiver</w:t>
            </w:r>
          </w:p>
        </w:tc>
        <w:tc>
          <w:tcPr>
            <w:tcW w:w="7763" w:type="dxa"/>
            <w:gridSpan w:val="2"/>
            <w:shd w:val="clear" w:color="auto" w:fill="auto"/>
            <w:vAlign w:val="center"/>
          </w:tcPr>
          <w:p>
            <w:pPr>
              <w:widowControl w:val="0"/>
              <w:spacing w:before="120" w:after="12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MMSE-IRC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1" w:type="dxa"/>
            <w:shd w:val="clear" w:color="auto" w:fill="auto"/>
          </w:tcPr>
          <w:p>
            <w:pPr>
              <w:widowControl w:val="0"/>
              <w:spacing w:before="120" w:after="12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UE receiver</w:t>
            </w:r>
          </w:p>
        </w:tc>
        <w:tc>
          <w:tcPr>
            <w:tcW w:w="7763" w:type="dxa"/>
            <w:gridSpan w:val="2"/>
            <w:shd w:val="clear" w:color="auto" w:fill="auto"/>
            <w:vAlign w:val="center"/>
          </w:tcPr>
          <w:p>
            <w:pPr>
              <w:widowControl w:val="0"/>
              <w:spacing w:before="120" w:after="12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MMSE-IRC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1" w:type="dxa"/>
            <w:shd w:val="clear" w:color="auto" w:fill="auto"/>
          </w:tcPr>
          <w:p>
            <w:pPr>
              <w:widowControl w:val="0"/>
              <w:spacing w:before="120" w:after="12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Channel estimation</w:t>
            </w:r>
          </w:p>
        </w:tc>
        <w:tc>
          <w:tcPr>
            <w:tcW w:w="7763" w:type="dxa"/>
            <w:gridSpan w:val="2"/>
            <w:shd w:val="clear" w:color="auto" w:fill="auto"/>
            <w:vAlign w:val="center"/>
          </w:tcPr>
          <w:p>
            <w:pPr>
              <w:widowControl w:val="0"/>
              <w:spacing w:before="120" w:after="12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Realistic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1" w:type="dxa"/>
            <w:shd w:val="clear" w:color="auto" w:fill="auto"/>
            <w:vAlign w:val="center"/>
          </w:tcPr>
          <w:p>
            <w:pPr>
              <w:widowControl w:val="0"/>
              <w:spacing w:before="120" w:after="120"/>
              <w:rPr>
                <w:color w:val="000000"/>
                <w:sz w:val="20"/>
              </w:rPr>
            </w:pPr>
            <w:r>
              <w:rPr>
                <w:rFonts w:eastAsia="Arial"/>
                <w:sz w:val="20"/>
              </w:rPr>
              <w:t>Target BLER</w:t>
            </w:r>
          </w:p>
        </w:tc>
        <w:tc>
          <w:tcPr>
            <w:tcW w:w="7763" w:type="dxa"/>
            <w:gridSpan w:val="2"/>
            <w:shd w:val="clear" w:color="auto" w:fill="auto"/>
            <w:vAlign w:val="center"/>
          </w:tcPr>
          <w:p>
            <w:pPr>
              <w:widowControl w:val="0"/>
              <w:spacing w:before="120" w:after="120"/>
              <w:rPr>
                <w:rFonts w:eastAsia="Arial"/>
                <w:sz w:val="20"/>
              </w:rPr>
            </w:pPr>
            <w:r>
              <w:rPr>
                <w:rFonts w:eastAsia="Arial"/>
                <w:sz w:val="20"/>
              </w:rPr>
              <w:t>10% for first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1" w:type="dxa"/>
            <w:shd w:val="clear" w:color="auto" w:fill="auto"/>
            <w:vAlign w:val="center"/>
          </w:tcPr>
          <w:p>
            <w:pPr>
              <w:widowControl w:val="0"/>
              <w:spacing w:before="120" w:after="120"/>
              <w:rPr>
                <w:color w:val="000000"/>
                <w:sz w:val="20"/>
              </w:rPr>
            </w:pPr>
            <w:r>
              <w:rPr>
                <w:rFonts w:eastAsiaTheme="minorEastAsia"/>
                <w:sz w:val="20"/>
              </w:rPr>
              <w:t>UE speed</w:t>
            </w:r>
          </w:p>
        </w:tc>
        <w:tc>
          <w:tcPr>
            <w:tcW w:w="7763" w:type="dxa"/>
            <w:gridSpan w:val="2"/>
            <w:shd w:val="clear" w:color="auto" w:fill="auto"/>
            <w:vAlign w:val="center"/>
          </w:tcPr>
          <w:p>
            <w:pPr>
              <w:widowControl w:val="0"/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3 km/h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1" w:type="dxa"/>
            <w:shd w:val="clear" w:color="auto" w:fill="auto"/>
          </w:tcPr>
          <w:p>
            <w:pPr>
              <w:widowControl w:val="0"/>
              <w:spacing w:before="120" w:after="120"/>
              <w:jc w:val="left"/>
              <w:textAlignment w:val="center"/>
              <w:rPr>
                <w:rFonts w:eastAsiaTheme="minorEastAsia"/>
                <w:sz w:val="20"/>
              </w:rPr>
            </w:pPr>
            <w:r>
              <w:rPr>
                <w:color w:val="000000"/>
                <w:kern w:val="0"/>
                <w:sz w:val="20"/>
              </w:rPr>
              <w:t>HARQ/repetition</w:t>
            </w:r>
          </w:p>
        </w:tc>
        <w:tc>
          <w:tcPr>
            <w:tcW w:w="7763" w:type="dxa"/>
            <w:gridSpan w:val="2"/>
            <w:shd w:val="clear" w:color="auto" w:fill="auto"/>
          </w:tcPr>
          <w:p>
            <w:pPr>
              <w:widowControl w:val="0"/>
              <w:spacing w:before="120" w:after="120"/>
              <w:jc w:val="left"/>
              <w:textAlignment w:val="center"/>
              <w:rPr>
                <w:color w:val="000000"/>
                <w:kern w:val="0"/>
                <w:sz w:val="20"/>
              </w:rPr>
            </w:pPr>
            <w:r>
              <w:rPr>
                <w:color w:val="000000"/>
                <w:kern w:val="0"/>
                <w:sz w:val="20"/>
              </w:rPr>
              <w:t>Support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1" w:type="dxa"/>
            <w:shd w:val="clear" w:color="auto" w:fill="auto"/>
            <w:vAlign w:val="center"/>
          </w:tcPr>
          <w:p>
            <w:pPr>
              <w:pStyle w:val="83"/>
              <w:widowControl w:val="0"/>
              <w:spacing w:before="120" w:after="120"/>
              <w:jc w:val="left"/>
              <w:rPr>
                <w:rFonts w:ascii="Times New Roman" w:hAnsi="Times New Roman" w:cs="Times New Roman" w:eastAsiaTheme="minorEastAsia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PHY processing delay</w:t>
            </w:r>
          </w:p>
        </w:tc>
        <w:tc>
          <w:tcPr>
            <w:tcW w:w="7763" w:type="dxa"/>
            <w:gridSpan w:val="2"/>
            <w:shd w:val="clear" w:color="auto" w:fill="auto"/>
            <w:vAlign w:val="center"/>
          </w:tcPr>
          <w:p>
            <w:pPr>
              <w:pStyle w:val="83"/>
              <w:widowControl w:val="0"/>
              <w:spacing w:before="120" w:after="120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UE P</w:t>
            </w:r>
            <w:r>
              <w:rPr>
                <w:rFonts w:ascii="Times New Roman" w:hAnsi="Times New Roman" w:eastAsia="宋体" w:cs="Times New Roman"/>
                <w:sz w:val="20"/>
                <w:szCs w:val="20"/>
                <w:lang w:eastAsia="zh-CN"/>
              </w:rPr>
              <w:t>U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SCH processing Capability #1</w:t>
            </w:r>
            <w:r>
              <w:rPr>
                <w:rFonts w:ascii="Times New Roman" w:hAnsi="Times New Roman" w:eastAsia="宋体" w:cs="Times New Roman"/>
                <w:sz w:val="20"/>
                <w:szCs w:val="20"/>
                <w:lang w:eastAsia="zh-CN"/>
              </w:rPr>
              <w:t>, N2=12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1" w:type="dxa"/>
            <w:shd w:val="clear" w:color="auto" w:fill="auto"/>
            <w:vAlign w:val="center"/>
          </w:tcPr>
          <w:p>
            <w:pPr>
              <w:pStyle w:val="83"/>
              <w:widowControl w:val="0"/>
              <w:spacing w:before="120" w:after="120"/>
              <w:jc w:val="left"/>
              <w:rPr>
                <w:rFonts w:ascii="Times New Roman" w:hAnsi="Times New Roman" w:cs="Times New Roman" w:eastAsiaTheme="minorEastAsia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  <w:lang w:eastAsia="zh-CN"/>
              </w:rPr>
              <w:t>DMRS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 xml:space="preserve"> overhead</w:t>
            </w:r>
          </w:p>
        </w:tc>
        <w:tc>
          <w:tcPr>
            <w:tcW w:w="7763" w:type="dxa"/>
            <w:gridSpan w:val="2"/>
            <w:shd w:val="clear" w:color="auto" w:fill="auto"/>
            <w:vAlign w:val="center"/>
          </w:tcPr>
          <w:p>
            <w:pPr>
              <w:pStyle w:val="83"/>
              <w:widowControl w:val="0"/>
              <w:spacing w:before="120" w:after="120"/>
              <w:jc w:val="left"/>
              <w:rPr>
                <w:rFonts w:ascii="Times New Roman" w:hAnsi="Times New Roman" w:cs="Times New Roman" w:eastAsiaTheme="minorEastAsia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zh-CN"/>
              </w:rPr>
              <w:t>4RE</w:t>
            </w:r>
          </w:p>
        </w:tc>
      </w:tr>
      <w:bookmarkEnd w:id="49"/>
      <w:bookmarkEnd w:id="50"/>
    </w:tbl>
    <w:p>
      <w:pPr>
        <w:spacing w:before="120" w:after="120"/>
      </w:pPr>
    </w:p>
    <w:p>
      <w:pPr>
        <w:spacing w:before="120" w:after="120" w:line="260" w:lineRule="auto"/>
        <w:jc w:val="center"/>
        <w:rPr>
          <w:sz w:val="20"/>
        </w:rPr>
      </w:pPr>
      <w:r>
        <w:t xml:space="preserve"> </w:t>
      </w:r>
    </w:p>
    <w:p>
      <w:pPr>
        <w:pStyle w:val="3"/>
        <w:numPr>
          <w:ilvl w:val="0"/>
          <w:numId w:val="0"/>
        </w:numPr>
        <w:spacing w:before="120" w:after="120"/>
        <w:ind w:right="210"/>
        <w:rPr>
          <w:rFonts w:eastAsia="宋体"/>
        </w:rPr>
      </w:pPr>
      <w:r>
        <w:rPr>
          <w:rFonts w:hint="eastAsia" w:eastAsia="宋体"/>
        </w:rPr>
        <w:t>B P</w:t>
      </w:r>
      <w:r>
        <w:rPr>
          <w:rFonts w:eastAsia="宋体"/>
        </w:rPr>
        <w:t>ower model</w:t>
      </w:r>
    </w:p>
    <w:p>
      <w:pPr>
        <w:spacing w:before="120" w:after="120"/>
        <w:jc w:val="center"/>
      </w:pPr>
      <w:r>
        <w:t>Table B</w:t>
      </w:r>
      <w:r>
        <w:rPr>
          <w:rFonts w:hint="eastAsia"/>
        </w:rPr>
        <w:t>.</w:t>
      </w:r>
      <w:r>
        <w:t>1 Power model for DL</w:t>
      </w:r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1"/>
        <w:gridCol w:w="20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widowControl w:val="0"/>
              <w:spacing w:before="0" w:beforeLines="0" w:after="0" w:afterLines="0"/>
              <w:jc w:val="center"/>
              <w:rPr>
                <w:sz w:val="20"/>
              </w:rPr>
            </w:pPr>
            <w:r>
              <w:rPr>
                <w:sz w:val="20"/>
              </w:rPr>
              <w:t>Power state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widowControl w:val="0"/>
              <w:spacing w:before="0" w:beforeLines="0" w:after="0" w:afterLines="0"/>
              <w:jc w:val="center"/>
              <w:rPr>
                <w:sz w:val="20"/>
              </w:rPr>
            </w:pPr>
            <w:r>
              <w:rPr>
                <w:sz w:val="20"/>
              </w:rPr>
              <w:t>Relative Power(1 slot)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before="0" w:beforeLines="0" w:after="0" w:afterLines="0"/>
              <w:jc w:val="center"/>
              <w:rPr>
                <w:sz w:val="20"/>
              </w:rPr>
            </w:pPr>
            <w:r>
              <w:rPr>
                <w:sz w:val="20"/>
              </w:rPr>
              <w:t>PDCCH-only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before="0" w:beforeLines="0" w:after="0" w:afterLines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before="0" w:beforeLines="0" w:after="0" w:afterLines="0"/>
              <w:jc w:val="center"/>
              <w:rPr>
                <w:sz w:val="20"/>
              </w:rPr>
            </w:pPr>
            <w:r>
              <w:rPr>
                <w:sz w:val="20"/>
              </w:rPr>
              <w:t>Micro sleep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before="0" w:beforeLines="0" w:after="0" w:afterLines="0"/>
              <w:jc w:val="center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before="0" w:beforeLines="0" w:after="0" w:afterLines="0"/>
              <w:jc w:val="center"/>
              <w:rPr>
                <w:sz w:val="20"/>
              </w:rPr>
            </w:pPr>
            <w:r>
              <w:rPr>
                <w:sz w:val="20"/>
              </w:rPr>
              <w:t>Light sleep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before="0" w:beforeLines="0" w:after="0" w:afterLines="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before="0" w:beforeLines="0" w:after="0" w:afterLines="0"/>
              <w:jc w:val="center"/>
              <w:rPr>
                <w:sz w:val="20"/>
              </w:rPr>
            </w:pPr>
            <w:r>
              <w:rPr>
                <w:sz w:val="20"/>
              </w:rPr>
              <w:t>Deep sleep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before="0" w:beforeLines="0" w:after="0" w:afterLines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>
      <w:pPr>
        <w:spacing w:before="120" w:after="120"/>
        <w:jc w:val="center"/>
      </w:pPr>
    </w:p>
    <w:p>
      <w:pPr>
        <w:spacing w:before="120" w:after="120"/>
        <w:jc w:val="center"/>
      </w:pPr>
      <w:r>
        <w:t>Table B</w:t>
      </w:r>
      <w:r>
        <w:rPr>
          <w:rFonts w:hint="eastAsia"/>
        </w:rPr>
        <w:t>.</w:t>
      </w:r>
      <w:r>
        <w:t>2 Power model for UL</w:t>
      </w:r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0"/>
        <w:gridCol w:w="705"/>
        <w:gridCol w:w="805"/>
        <w:gridCol w:w="37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20"/>
              </w:rPr>
            </w:pPr>
            <w:r>
              <w:rPr>
                <w:sz w:val="20"/>
              </w:rPr>
              <w:t>Power state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20"/>
              </w:rPr>
            </w:pPr>
            <w:r>
              <w:rPr>
                <w:sz w:val="20"/>
              </w:rPr>
              <w:t>Relative Power(1 slot)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 w:line="240" w:lineRule="auto"/>
              <w:jc w:val="left"/>
              <w:rPr>
                <w:sz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20"/>
              </w:rPr>
            </w:pPr>
            <w:r>
              <w:rPr>
                <w:sz w:val="20"/>
              </w:rPr>
              <w:t>0dBm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20"/>
              </w:rPr>
            </w:pPr>
            <w:r>
              <w:rPr>
                <w:sz w:val="20"/>
              </w:rPr>
              <w:t>23dBm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20"/>
              </w:rPr>
            </w:pPr>
            <w:r>
              <w:rPr>
                <w:sz w:val="20"/>
              </w:rPr>
              <w:t>Other Tx power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20"/>
              </w:rPr>
            </w:pPr>
            <w:r>
              <w:rPr>
                <w:sz w:val="20"/>
              </w:rPr>
              <w:t>UL(long PUCCH or PUSCH)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20"/>
              </w:rPr>
            </w:pPr>
            <w:r>
              <w:rPr>
                <w:sz w:val="20"/>
              </w:rPr>
              <w:t>700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20"/>
              </w:rPr>
            </w:pPr>
            <w:r>
              <w:rPr>
                <w:sz w:val="20"/>
              </w:rPr>
              <w:t>Obtained by linear function or step function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20"/>
              </w:rPr>
            </w:pPr>
            <w:r>
              <w:rPr>
                <w:sz w:val="20"/>
              </w:rPr>
              <w:t>PDCCH+PUSCH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20"/>
              </w:rPr>
            </w:pPr>
            <w:r>
              <w:rPr>
                <w:sz w:val="20"/>
              </w:rPr>
              <w:t>Sum(PDCCH-only, PUSCH)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20"/>
              </w:rPr>
            </w:pPr>
            <w:r>
              <w:rPr>
                <w:sz w:val="20"/>
              </w:rPr>
              <w:t>PDCCH+PDSCH+PUSCH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Lines="0" w:after="0" w:afterLines="0"/>
              <w:jc w:val="center"/>
              <w:rPr>
                <w:sz w:val="20"/>
              </w:rPr>
            </w:pPr>
            <w:r>
              <w:rPr>
                <w:sz w:val="20"/>
              </w:rPr>
              <w:t>Sum(PDCCH+PDSCH, PUSCH)</w:t>
            </w:r>
          </w:p>
        </w:tc>
      </w:tr>
    </w:tbl>
    <w:p>
      <w:pPr>
        <w:spacing w:before="120" w:after="120"/>
        <w:ind w:left="420"/>
      </w:pPr>
      <w:r>
        <w:t>Note: The power of “PDCCH+PDSCH+PUSCH”, “PDSCH+PUSCH” and “PDCCH+PUSCH” is the sum of corresponding DL power consumption and PUSCH power consumption. For example, the power value of “PDCCH+PUSCH” is equal to the sum of power of “PDCCH-only” and power of “PUSCH</w:t>
      </w:r>
      <w:r>
        <w:rPr>
          <w:rFonts w:hint="eastAsia"/>
        </w:rPr>
        <w:t>”</w:t>
      </w:r>
      <w:r>
        <w:t>.</w:t>
      </w:r>
    </w:p>
    <w:p>
      <w:pPr>
        <w:spacing w:beforeLines="0" w:afterLines="0"/>
        <w:jc w:val="left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spacing w:before="120" w:after="12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9"/>
                            <w:spacing w:before="120" w:after="12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8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9"/>
                      <w:spacing w:before="120" w:after="12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8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spacing w:before="120" w:after="1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34B193"/>
    <w:multiLevelType w:val="singleLevel"/>
    <w:tmpl w:val="AB34B193"/>
    <w:lvl w:ilvl="0" w:tentative="0">
      <w:start w:val="1"/>
      <w:numFmt w:val="decimal"/>
      <w:pStyle w:val="38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 w:val="0"/>
        <w:iCs w:val="0"/>
        <w:sz w:val="21"/>
        <w:szCs w:val="21"/>
      </w:rPr>
    </w:lvl>
  </w:abstractNum>
  <w:abstractNum w:abstractNumId="1">
    <w:nsid w:val="B15F0BA4"/>
    <w:multiLevelType w:val="singleLevel"/>
    <w:tmpl w:val="B15F0BA4"/>
    <w:lvl w:ilvl="0" w:tentative="0">
      <w:start w:val="1"/>
      <w:numFmt w:val="bullet"/>
      <w:pStyle w:val="42"/>
      <w:lvlText w:val="-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2">
    <w:nsid w:val="B797890C"/>
    <w:multiLevelType w:val="singleLevel"/>
    <w:tmpl w:val="B797890C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BD0CA652"/>
    <w:multiLevelType w:val="multilevel"/>
    <w:tmpl w:val="BD0CA652"/>
    <w:lvl w:ilvl="0" w:tentative="0">
      <w:start w:val="1"/>
      <w:numFmt w:val="decimal"/>
      <w:pStyle w:val="39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 w:val="0"/>
        <w:iCs w:val="0"/>
        <w:sz w:val="20"/>
        <w:szCs w:val="20"/>
      </w:rPr>
    </w:lvl>
    <w:lvl w:ilvl="1" w:tentative="0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>
    <w:nsid w:val="D45C768C"/>
    <w:multiLevelType w:val="singleLevel"/>
    <w:tmpl w:val="D45C768C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5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4962" w:firstLine="0"/>
      </w:pPr>
      <w:rPr>
        <w:rFonts w:hint="default" w:ascii="Times New Roman" w:hAnsi="Times New Roman" w:eastAsia="黑体" w:cs="Times New Roman"/>
        <w:b/>
        <w:bCs/>
        <w:i w:val="0"/>
        <w:sz w:val="24"/>
        <w:szCs w:val="24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hint="default" w:ascii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Times New Roman" w:hAnsi="Times New Roman" w:eastAsia="黑体" w:cs="Times New Roman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6">
    <w:nsid w:val="1799421B"/>
    <w:multiLevelType w:val="singleLevel"/>
    <w:tmpl w:val="1799421B"/>
    <w:lvl w:ilvl="0" w:tentative="0">
      <w:start w:val="1"/>
      <w:numFmt w:val="decimal"/>
      <w:suff w:val="space"/>
      <w:lvlText w:val="[%1]"/>
      <w:lvlJc w:val="left"/>
    </w:lvl>
  </w:abstractNum>
  <w:abstractNum w:abstractNumId="7">
    <w:nsid w:val="3A877D64"/>
    <w:multiLevelType w:val="singleLevel"/>
    <w:tmpl w:val="3A877D64"/>
    <w:lvl w:ilvl="0" w:tentative="0">
      <w:start w:val="1"/>
      <w:numFmt w:val="decimal"/>
      <w:pStyle w:val="44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highlight w:val="yellow"/>
      </w:rPr>
    </w:lvl>
  </w:abstractNum>
  <w:abstractNum w:abstractNumId="8">
    <w:nsid w:val="508BE803"/>
    <w:multiLevelType w:val="singleLevel"/>
    <w:tmpl w:val="508BE803"/>
    <w:lvl w:ilvl="0" w:tentative="0">
      <w:start w:val="1"/>
      <w:numFmt w:val="bullet"/>
      <w:pStyle w:val="43"/>
      <w:lvlText w:val="-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9">
    <w:nsid w:val="66E85479"/>
    <w:multiLevelType w:val="multilevel"/>
    <w:tmpl w:val="66E8547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6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0">
    <w:nsid w:val="7DC436CD"/>
    <w:multiLevelType w:val="singleLevel"/>
    <w:tmpl w:val="7DC436CD"/>
    <w:lvl w:ilvl="0" w:tentative="0">
      <w:start w:val="1"/>
      <w:numFmt w:val="bullet"/>
      <w:pStyle w:val="40"/>
      <w:lvlText w:val="•"/>
      <w:lvlJc w:val="left"/>
      <w:pPr>
        <w:tabs>
          <w:tab w:val="left" w:pos="420"/>
        </w:tabs>
        <w:ind w:left="420" w:hanging="378"/>
      </w:pPr>
      <w:rPr>
        <w:rFonts w:hint="default" w:ascii="Arial" w:hAnsi="Arial" w:cs="Arial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0"/>
  </w:num>
  <w:num w:numId="5">
    <w:abstractNumId w:val="1"/>
  </w:num>
  <w:num w:numId="6">
    <w:abstractNumId w:val="8"/>
  </w:num>
  <w:num w:numId="7">
    <w:abstractNumId w:val="7"/>
  </w:num>
  <w:num w:numId="8">
    <w:abstractNumId w:val="2"/>
  </w:num>
  <w:num w:numId="9">
    <w:abstractNumId w:val="9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7CB"/>
    <w:rsid w:val="00011B0F"/>
    <w:rsid w:val="00012E89"/>
    <w:rsid w:val="00013735"/>
    <w:rsid w:val="00015154"/>
    <w:rsid w:val="00015A3B"/>
    <w:rsid w:val="00015BFB"/>
    <w:rsid w:val="00015EDB"/>
    <w:rsid w:val="00023E09"/>
    <w:rsid w:val="00026E93"/>
    <w:rsid w:val="00035796"/>
    <w:rsid w:val="00041E42"/>
    <w:rsid w:val="00042B43"/>
    <w:rsid w:val="00042E39"/>
    <w:rsid w:val="0004491B"/>
    <w:rsid w:val="00051C77"/>
    <w:rsid w:val="00064C14"/>
    <w:rsid w:val="00064D22"/>
    <w:rsid w:val="000658C9"/>
    <w:rsid w:val="000777BE"/>
    <w:rsid w:val="00080105"/>
    <w:rsid w:val="00084800"/>
    <w:rsid w:val="00093915"/>
    <w:rsid w:val="00096000"/>
    <w:rsid w:val="0009787C"/>
    <w:rsid w:val="000A0061"/>
    <w:rsid w:val="000A6B3B"/>
    <w:rsid w:val="000B63CC"/>
    <w:rsid w:val="000B6F2B"/>
    <w:rsid w:val="000C217B"/>
    <w:rsid w:val="000C7C50"/>
    <w:rsid w:val="000D07D4"/>
    <w:rsid w:val="000D1953"/>
    <w:rsid w:val="000D26FB"/>
    <w:rsid w:val="000E501F"/>
    <w:rsid w:val="000F3475"/>
    <w:rsid w:val="000F65FF"/>
    <w:rsid w:val="000F72AD"/>
    <w:rsid w:val="001027A2"/>
    <w:rsid w:val="001034DA"/>
    <w:rsid w:val="0010617D"/>
    <w:rsid w:val="001163CA"/>
    <w:rsid w:val="00133194"/>
    <w:rsid w:val="00135372"/>
    <w:rsid w:val="00140557"/>
    <w:rsid w:val="001452CB"/>
    <w:rsid w:val="0014756F"/>
    <w:rsid w:val="001506E9"/>
    <w:rsid w:val="00166DD7"/>
    <w:rsid w:val="001674E9"/>
    <w:rsid w:val="00172A27"/>
    <w:rsid w:val="00174519"/>
    <w:rsid w:val="001903BD"/>
    <w:rsid w:val="00191CCB"/>
    <w:rsid w:val="0019443E"/>
    <w:rsid w:val="0019599C"/>
    <w:rsid w:val="00196DCD"/>
    <w:rsid w:val="001B41A9"/>
    <w:rsid w:val="001B5E75"/>
    <w:rsid w:val="001B6A16"/>
    <w:rsid w:val="001C396E"/>
    <w:rsid w:val="001E1639"/>
    <w:rsid w:val="001E4ADD"/>
    <w:rsid w:val="001E630D"/>
    <w:rsid w:val="001E68D2"/>
    <w:rsid w:val="001F2552"/>
    <w:rsid w:val="00200427"/>
    <w:rsid w:val="002040EC"/>
    <w:rsid w:val="00204BEB"/>
    <w:rsid w:val="00217072"/>
    <w:rsid w:val="00217F41"/>
    <w:rsid w:val="00221045"/>
    <w:rsid w:val="002217CD"/>
    <w:rsid w:val="002254E5"/>
    <w:rsid w:val="00235CA8"/>
    <w:rsid w:val="00236811"/>
    <w:rsid w:val="002417E5"/>
    <w:rsid w:val="002460EB"/>
    <w:rsid w:val="00266EB2"/>
    <w:rsid w:val="0026734A"/>
    <w:rsid w:val="00272E7B"/>
    <w:rsid w:val="00282C5E"/>
    <w:rsid w:val="00291E13"/>
    <w:rsid w:val="00292BDC"/>
    <w:rsid w:val="0029479C"/>
    <w:rsid w:val="002A0EAA"/>
    <w:rsid w:val="002A1851"/>
    <w:rsid w:val="002A24E4"/>
    <w:rsid w:val="002B3F85"/>
    <w:rsid w:val="002B4EB7"/>
    <w:rsid w:val="002B532D"/>
    <w:rsid w:val="002C06E5"/>
    <w:rsid w:val="002C1973"/>
    <w:rsid w:val="002C39E2"/>
    <w:rsid w:val="002D37B3"/>
    <w:rsid w:val="002D70DD"/>
    <w:rsid w:val="002F25AA"/>
    <w:rsid w:val="003006EF"/>
    <w:rsid w:val="00303048"/>
    <w:rsid w:val="00306FE6"/>
    <w:rsid w:val="00311DAC"/>
    <w:rsid w:val="00313FCE"/>
    <w:rsid w:val="00317179"/>
    <w:rsid w:val="00323556"/>
    <w:rsid w:val="00326050"/>
    <w:rsid w:val="00331B1C"/>
    <w:rsid w:val="00331EF2"/>
    <w:rsid w:val="00334743"/>
    <w:rsid w:val="00354570"/>
    <w:rsid w:val="003548FE"/>
    <w:rsid w:val="00355D1A"/>
    <w:rsid w:val="003565E9"/>
    <w:rsid w:val="00365D66"/>
    <w:rsid w:val="00367434"/>
    <w:rsid w:val="00367EF9"/>
    <w:rsid w:val="00370C23"/>
    <w:rsid w:val="00371CBB"/>
    <w:rsid w:val="00375A07"/>
    <w:rsid w:val="003766C6"/>
    <w:rsid w:val="00377BC5"/>
    <w:rsid w:val="00380742"/>
    <w:rsid w:val="00381EDA"/>
    <w:rsid w:val="00382D15"/>
    <w:rsid w:val="00395237"/>
    <w:rsid w:val="00396ADB"/>
    <w:rsid w:val="003A103D"/>
    <w:rsid w:val="003A7E56"/>
    <w:rsid w:val="003B1149"/>
    <w:rsid w:val="003B217C"/>
    <w:rsid w:val="003C2603"/>
    <w:rsid w:val="003C31D2"/>
    <w:rsid w:val="003D1DD7"/>
    <w:rsid w:val="003D2C54"/>
    <w:rsid w:val="003D5859"/>
    <w:rsid w:val="003E3446"/>
    <w:rsid w:val="003E38AE"/>
    <w:rsid w:val="003E4BBB"/>
    <w:rsid w:val="003E4FEE"/>
    <w:rsid w:val="003E680F"/>
    <w:rsid w:val="003F45F9"/>
    <w:rsid w:val="003F4FBC"/>
    <w:rsid w:val="003F5F3D"/>
    <w:rsid w:val="0041502B"/>
    <w:rsid w:val="004265D0"/>
    <w:rsid w:val="004326F4"/>
    <w:rsid w:val="00441FB9"/>
    <w:rsid w:val="00443103"/>
    <w:rsid w:val="0044362B"/>
    <w:rsid w:val="00452AB6"/>
    <w:rsid w:val="00453986"/>
    <w:rsid w:val="0045623B"/>
    <w:rsid w:val="00461AA7"/>
    <w:rsid w:val="00462DF1"/>
    <w:rsid w:val="00476112"/>
    <w:rsid w:val="00483003"/>
    <w:rsid w:val="004834D4"/>
    <w:rsid w:val="00490961"/>
    <w:rsid w:val="00493873"/>
    <w:rsid w:val="00496216"/>
    <w:rsid w:val="004A5821"/>
    <w:rsid w:val="004B1A2F"/>
    <w:rsid w:val="004C05FA"/>
    <w:rsid w:val="004C1151"/>
    <w:rsid w:val="004C7CB4"/>
    <w:rsid w:val="004C7FE3"/>
    <w:rsid w:val="004D0363"/>
    <w:rsid w:val="004F1990"/>
    <w:rsid w:val="004F342B"/>
    <w:rsid w:val="004F7324"/>
    <w:rsid w:val="00500199"/>
    <w:rsid w:val="00503141"/>
    <w:rsid w:val="00517339"/>
    <w:rsid w:val="005212D2"/>
    <w:rsid w:val="005228C9"/>
    <w:rsid w:val="00522A39"/>
    <w:rsid w:val="00525ABF"/>
    <w:rsid w:val="0052624F"/>
    <w:rsid w:val="005339DA"/>
    <w:rsid w:val="00534AC4"/>
    <w:rsid w:val="005420CA"/>
    <w:rsid w:val="005436CE"/>
    <w:rsid w:val="005439D4"/>
    <w:rsid w:val="00546231"/>
    <w:rsid w:val="005650A3"/>
    <w:rsid w:val="00566FDE"/>
    <w:rsid w:val="00576074"/>
    <w:rsid w:val="005802EF"/>
    <w:rsid w:val="005813DA"/>
    <w:rsid w:val="00583301"/>
    <w:rsid w:val="00583697"/>
    <w:rsid w:val="00585C15"/>
    <w:rsid w:val="0058704C"/>
    <w:rsid w:val="00594202"/>
    <w:rsid w:val="00594E48"/>
    <w:rsid w:val="00597ADE"/>
    <w:rsid w:val="005A03E4"/>
    <w:rsid w:val="005A3A55"/>
    <w:rsid w:val="005B065E"/>
    <w:rsid w:val="005B1CD4"/>
    <w:rsid w:val="005C0F68"/>
    <w:rsid w:val="005C47EF"/>
    <w:rsid w:val="005D0D50"/>
    <w:rsid w:val="005D14DB"/>
    <w:rsid w:val="005D2F93"/>
    <w:rsid w:val="005E6D49"/>
    <w:rsid w:val="005F1A12"/>
    <w:rsid w:val="005F38D1"/>
    <w:rsid w:val="005F3D0F"/>
    <w:rsid w:val="00602586"/>
    <w:rsid w:val="00603923"/>
    <w:rsid w:val="0062153B"/>
    <w:rsid w:val="0062167D"/>
    <w:rsid w:val="00633C6F"/>
    <w:rsid w:val="0063757E"/>
    <w:rsid w:val="006404EF"/>
    <w:rsid w:val="006432A2"/>
    <w:rsid w:val="00643612"/>
    <w:rsid w:val="006454D0"/>
    <w:rsid w:val="00645E5F"/>
    <w:rsid w:val="00646A9B"/>
    <w:rsid w:val="00667952"/>
    <w:rsid w:val="00671B8B"/>
    <w:rsid w:val="00677C91"/>
    <w:rsid w:val="00683BA7"/>
    <w:rsid w:val="0068648D"/>
    <w:rsid w:val="00690670"/>
    <w:rsid w:val="006970AA"/>
    <w:rsid w:val="006A072C"/>
    <w:rsid w:val="006A6F2E"/>
    <w:rsid w:val="006B021A"/>
    <w:rsid w:val="006B10CB"/>
    <w:rsid w:val="006B1F34"/>
    <w:rsid w:val="006B2721"/>
    <w:rsid w:val="006B63E2"/>
    <w:rsid w:val="006B6ED9"/>
    <w:rsid w:val="006C1ED6"/>
    <w:rsid w:val="006C61BF"/>
    <w:rsid w:val="006D3CB8"/>
    <w:rsid w:val="006D42B1"/>
    <w:rsid w:val="006E3C24"/>
    <w:rsid w:val="006E69D1"/>
    <w:rsid w:val="006F0B4C"/>
    <w:rsid w:val="006F14FC"/>
    <w:rsid w:val="006F284E"/>
    <w:rsid w:val="006F4186"/>
    <w:rsid w:val="006F7D0E"/>
    <w:rsid w:val="0070654E"/>
    <w:rsid w:val="00711D48"/>
    <w:rsid w:val="00712A5E"/>
    <w:rsid w:val="00713810"/>
    <w:rsid w:val="007166E8"/>
    <w:rsid w:val="0074089D"/>
    <w:rsid w:val="00744C1A"/>
    <w:rsid w:val="00746009"/>
    <w:rsid w:val="007476DD"/>
    <w:rsid w:val="00751A1E"/>
    <w:rsid w:val="0076697A"/>
    <w:rsid w:val="00772085"/>
    <w:rsid w:val="007761D7"/>
    <w:rsid w:val="00781710"/>
    <w:rsid w:val="00784E6E"/>
    <w:rsid w:val="00795FC2"/>
    <w:rsid w:val="007A0C1E"/>
    <w:rsid w:val="007A24B9"/>
    <w:rsid w:val="007A5B95"/>
    <w:rsid w:val="007A5CFF"/>
    <w:rsid w:val="007B0734"/>
    <w:rsid w:val="007B0F88"/>
    <w:rsid w:val="007B319D"/>
    <w:rsid w:val="007B379C"/>
    <w:rsid w:val="007B6D64"/>
    <w:rsid w:val="007C1955"/>
    <w:rsid w:val="007C4C91"/>
    <w:rsid w:val="007C6A0A"/>
    <w:rsid w:val="007C7ACA"/>
    <w:rsid w:val="007D42AC"/>
    <w:rsid w:val="007E53B8"/>
    <w:rsid w:val="007F2A3D"/>
    <w:rsid w:val="007F5FF3"/>
    <w:rsid w:val="007F6B9D"/>
    <w:rsid w:val="008026B7"/>
    <w:rsid w:val="00807A83"/>
    <w:rsid w:val="00812554"/>
    <w:rsid w:val="008135A5"/>
    <w:rsid w:val="00816F6F"/>
    <w:rsid w:val="00817DE9"/>
    <w:rsid w:val="00825A92"/>
    <w:rsid w:val="00830ED1"/>
    <w:rsid w:val="00832C17"/>
    <w:rsid w:val="00846E3F"/>
    <w:rsid w:val="00847916"/>
    <w:rsid w:val="008505E3"/>
    <w:rsid w:val="00856229"/>
    <w:rsid w:val="0085716B"/>
    <w:rsid w:val="008615F3"/>
    <w:rsid w:val="00862777"/>
    <w:rsid w:val="008632A5"/>
    <w:rsid w:val="008632D8"/>
    <w:rsid w:val="008650A2"/>
    <w:rsid w:val="00873548"/>
    <w:rsid w:val="0087435E"/>
    <w:rsid w:val="008776C3"/>
    <w:rsid w:val="00880E89"/>
    <w:rsid w:val="008830C7"/>
    <w:rsid w:val="00894AD9"/>
    <w:rsid w:val="00895C07"/>
    <w:rsid w:val="008971C5"/>
    <w:rsid w:val="008A0205"/>
    <w:rsid w:val="008A05C1"/>
    <w:rsid w:val="008B1BC6"/>
    <w:rsid w:val="008B58AC"/>
    <w:rsid w:val="008B7017"/>
    <w:rsid w:val="008B7CB0"/>
    <w:rsid w:val="008B7DB1"/>
    <w:rsid w:val="008C1A97"/>
    <w:rsid w:val="008C3050"/>
    <w:rsid w:val="008C329B"/>
    <w:rsid w:val="008C72D3"/>
    <w:rsid w:val="008D1D47"/>
    <w:rsid w:val="008D230F"/>
    <w:rsid w:val="008D38A0"/>
    <w:rsid w:val="008D51A9"/>
    <w:rsid w:val="008D54B2"/>
    <w:rsid w:val="008E0B96"/>
    <w:rsid w:val="008E2514"/>
    <w:rsid w:val="008E587D"/>
    <w:rsid w:val="008E617E"/>
    <w:rsid w:val="008F11DE"/>
    <w:rsid w:val="008F4365"/>
    <w:rsid w:val="0090147B"/>
    <w:rsid w:val="00904EC5"/>
    <w:rsid w:val="00907CB9"/>
    <w:rsid w:val="009125C1"/>
    <w:rsid w:val="0091556B"/>
    <w:rsid w:val="00923623"/>
    <w:rsid w:val="00926E20"/>
    <w:rsid w:val="00930332"/>
    <w:rsid w:val="00931643"/>
    <w:rsid w:val="0093236A"/>
    <w:rsid w:val="00933B85"/>
    <w:rsid w:val="00942505"/>
    <w:rsid w:val="00942E25"/>
    <w:rsid w:val="00950B8D"/>
    <w:rsid w:val="00953CDE"/>
    <w:rsid w:val="009544E0"/>
    <w:rsid w:val="009578EB"/>
    <w:rsid w:val="0096044C"/>
    <w:rsid w:val="009864C8"/>
    <w:rsid w:val="009917E6"/>
    <w:rsid w:val="00992CAA"/>
    <w:rsid w:val="0099436F"/>
    <w:rsid w:val="009944AA"/>
    <w:rsid w:val="009953DB"/>
    <w:rsid w:val="009C4832"/>
    <w:rsid w:val="009C5508"/>
    <w:rsid w:val="009D0920"/>
    <w:rsid w:val="009D1C4D"/>
    <w:rsid w:val="009D1E4F"/>
    <w:rsid w:val="009D3E62"/>
    <w:rsid w:val="009E3CEF"/>
    <w:rsid w:val="009F07B1"/>
    <w:rsid w:val="009F40BC"/>
    <w:rsid w:val="00A027EF"/>
    <w:rsid w:val="00A02943"/>
    <w:rsid w:val="00A03A42"/>
    <w:rsid w:val="00A03B7D"/>
    <w:rsid w:val="00A06031"/>
    <w:rsid w:val="00A12F88"/>
    <w:rsid w:val="00A14FF2"/>
    <w:rsid w:val="00A15FD1"/>
    <w:rsid w:val="00A16425"/>
    <w:rsid w:val="00A4166A"/>
    <w:rsid w:val="00A46CC4"/>
    <w:rsid w:val="00A54D0B"/>
    <w:rsid w:val="00A57F9E"/>
    <w:rsid w:val="00A669D4"/>
    <w:rsid w:val="00A74AFE"/>
    <w:rsid w:val="00A8126A"/>
    <w:rsid w:val="00A878AE"/>
    <w:rsid w:val="00A90780"/>
    <w:rsid w:val="00A92636"/>
    <w:rsid w:val="00A9419E"/>
    <w:rsid w:val="00A941B0"/>
    <w:rsid w:val="00AA6E04"/>
    <w:rsid w:val="00AB21DC"/>
    <w:rsid w:val="00AC19F6"/>
    <w:rsid w:val="00AC260F"/>
    <w:rsid w:val="00AD3B01"/>
    <w:rsid w:val="00AD4752"/>
    <w:rsid w:val="00AD5057"/>
    <w:rsid w:val="00AD7836"/>
    <w:rsid w:val="00AE4580"/>
    <w:rsid w:val="00AE5669"/>
    <w:rsid w:val="00AF22D3"/>
    <w:rsid w:val="00AF7C15"/>
    <w:rsid w:val="00B16AE9"/>
    <w:rsid w:val="00B2619C"/>
    <w:rsid w:val="00B35BD3"/>
    <w:rsid w:val="00B61CE0"/>
    <w:rsid w:val="00B641FF"/>
    <w:rsid w:val="00B66332"/>
    <w:rsid w:val="00B75373"/>
    <w:rsid w:val="00B810DE"/>
    <w:rsid w:val="00B81A6F"/>
    <w:rsid w:val="00B8739E"/>
    <w:rsid w:val="00B87930"/>
    <w:rsid w:val="00B9484C"/>
    <w:rsid w:val="00B952BF"/>
    <w:rsid w:val="00B95736"/>
    <w:rsid w:val="00BA715F"/>
    <w:rsid w:val="00BB71E4"/>
    <w:rsid w:val="00BC1857"/>
    <w:rsid w:val="00BC22AE"/>
    <w:rsid w:val="00BD47B2"/>
    <w:rsid w:val="00BD52A6"/>
    <w:rsid w:val="00BD6309"/>
    <w:rsid w:val="00BD6916"/>
    <w:rsid w:val="00BE559C"/>
    <w:rsid w:val="00BE5C1A"/>
    <w:rsid w:val="00BE5EFB"/>
    <w:rsid w:val="00BE641D"/>
    <w:rsid w:val="00BF04BF"/>
    <w:rsid w:val="00BF1E7C"/>
    <w:rsid w:val="00BF4B0E"/>
    <w:rsid w:val="00C00309"/>
    <w:rsid w:val="00C039ED"/>
    <w:rsid w:val="00C073E1"/>
    <w:rsid w:val="00C134B6"/>
    <w:rsid w:val="00C137DB"/>
    <w:rsid w:val="00C13ACE"/>
    <w:rsid w:val="00C166BC"/>
    <w:rsid w:val="00C17EF0"/>
    <w:rsid w:val="00C239A8"/>
    <w:rsid w:val="00C23EBF"/>
    <w:rsid w:val="00C27740"/>
    <w:rsid w:val="00C37341"/>
    <w:rsid w:val="00C406CC"/>
    <w:rsid w:val="00C47BF5"/>
    <w:rsid w:val="00C5192B"/>
    <w:rsid w:val="00C51FCC"/>
    <w:rsid w:val="00C523D9"/>
    <w:rsid w:val="00C57F2A"/>
    <w:rsid w:val="00C637DC"/>
    <w:rsid w:val="00C66968"/>
    <w:rsid w:val="00C67B31"/>
    <w:rsid w:val="00C67F5E"/>
    <w:rsid w:val="00C774C8"/>
    <w:rsid w:val="00C77FEA"/>
    <w:rsid w:val="00C91D7F"/>
    <w:rsid w:val="00C95A31"/>
    <w:rsid w:val="00CA1DBD"/>
    <w:rsid w:val="00CA4828"/>
    <w:rsid w:val="00CA51B3"/>
    <w:rsid w:val="00CA6701"/>
    <w:rsid w:val="00CB2B6E"/>
    <w:rsid w:val="00CB6453"/>
    <w:rsid w:val="00CB7131"/>
    <w:rsid w:val="00CC4532"/>
    <w:rsid w:val="00CD29F4"/>
    <w:rsid w:val="00CD3761"/>
    <w:rsid w:val="00CD455A"/>
    <w:rsid w:val="00CD71E1"/>
    <w:rsid w:val="00CE1AD7"/>
    <w:rsid w:val="00CF378F"/>
    <w:rsid w:val="00D01D40"/>
    <w:rsid w:val="00D11131"/>
    <w:rsid w:val="00D20A97"/>
    <w:rsid w:val="00D26B1F"/>
    <w:rsid w:val="00D40D43"/>
    <w:rsid w:val="00D50681"/>
    <w:rsid w:val="00D50800"/>
    <w:rsid w:val="00D5574F"/>
    <w:rsid w:val="00D62C07"/>
    <w:rsid w:val="00D70ECB"/>
    <w:rsid w:val="00D9619E"/>
    <w:rsid w:val="00DA03CF"/>
    <w:rsid w:val="00DA1F59"/>
    <w:rsid w:val="00DA5F51"/>
    <w:rsid w:val="00DB0ACF"/>
    <w:rsid w:val="00DB1073"/>
    <w:rsid w:val="00DB6BD7"/>
    <w:rsid w:val="00DC0F8B"/>
    <w:rsid w:val="00DC2AAB"/>
    <w:rsid w:val="00DD0E4C"/>
    <w:rsid w:val="00DD3C75"/>
    <w:rsid w:val="00DD4B55"/>
    <w:rsid w:val="00DF1617"/>
    <w:rsid w:val="00E0657A"/>
    <w:rsid w:val="00E06B21"/>
    <w:rsid w:val="00E167F1"/>
    <w:rsid w:val="00E2140B"/>
    <w:rsid w:val="00E31E1F"/>
    <w:rsid w:val="00E34F3B"/>
    <w:rsid w:val="00E40569"/>
    <w:rsid w:val="00E40E07"/>
    <w:rsid w:val="00E420FE"/>
    <w:rsid w:val="00E56DD3"/>
    <w:rsid w:val="00E61B28"/>
    <w:rsid w:val="00E62A3D"/>
    <w:rsid w:val="00E67314"/>
    <w:rsid w:val="00E7336C"/>
    <w:rsid w:val="00E75926"/>
    <w:rsid w:val="00E77887"/>
    <w:rsid w:val="00E77FED"/>
    <w:rsid w:val="00E817AF"/>
    <w:rsid w:val="00E857BF"/>
    <w:rsid w:val="00E85B8C"/>
    <w:rsid w:val="00E917D5"/>
    <w:rsid w:val="00E97469"/>
    <w:rsid w:val="00EA4E8D"/>
    <w:rsid w:val="00EA62E5"/>
    <w:rsid w:val="00EA76D3"/>
    <w:rsid w:val="00EB3AAE"/>
    <w:rsid w:val="00EC0827"/>
    <w:rsid w:val="00EC3F65"/>
    <w:rsid w:val="00ED26A0"/>
    <w:rsid w:val="00EE2CF6"/>
    <w:rsid w:val="00EE749C"/>
    <w:rsid w:val="00EF59B1"/>
    <w:rsid w:val="00F01154"/>
    <w:rsid w:val="00F1581B"/>
    <w:rsid w:val="00F30F62"/>
    <w:rsid w:val="00F4095D"/>
    <w:rsid w:val="00F40E52"/>
    <w:rsid w:val="00F533F6"/>
    <w:rsid w:val="00F5722B"/>
    <w:rsid w:val="00F57D7D"/>
    <w:rsid w:val="00F60223"/>
    <w:rsid w:val="00F672A6"/>
    <w:rsid w:val="00F67F3E"/>
    <w:rsid w:val="00F765F4"/>
    <w:rsid w:val="00F8272E"/>
    <w:rsid w:val="00F82AFD"/>
    <w:rsid w:val="00F83C17"/>
    <w:rsid w:val="00F91AA7"/>
    <w:rsid w:val="00F958CC"/>
    <w:rsid w:val="00F97C0B"/>
    <w:rsid w:val="00FA1FE9"/>
    <w:rsid w:val="00FA359D"/>
    <w:rsid w:val="00FA3BED"/>
    <w:rsid w:val="00FA552B"/>
    <w:rsid w:val="00FA62E6"/>
    <w:rsid w:val="00FA7011"/>
    <w:rsid w:val="00FB5ABE"/>
    <w:rsid w:val="00FC0D9D"/>
    <w:rsid w:val="00FD2DE4"/>
    <w:rsid w:val="00FE01EF"/>
    <w:rsid w:val="00FE4365"/>
    <w:rsid w:val="00FF0673"/>
    <w:rsid w:val="00FF1E19"/>
    <w:rsid w:val="00FF2B35"/>
    <w:rsid w:val="00FF2D5B"/>
    <w:rsid w:val="01166C39"/>
    <w:rsid w:val="011C748B"/>
    <w:rsid w:val="01307DB8"/>
    <w:rsid w:val="01764F01"/>
    <w:rsid w:val="019E0494"/>
    <w:rsid w:val="01BC6EAA"/>
    <w:rsid w:val="01BD387A"/>
    <w:rsid w:val="01EA1306"/>
    <w:rsid w:val="01ED62FC"/>
    <w:rsid w:val="01FA595F"/>
    <w:rsid w:val="01FD3C72"/>
    <w:rsid w:val="022371D7"/>
    <w:rsid w:val="024D6B6A"/>
    <w:rsid w:val="02585A0D"/>
    <w:rsid w:val="026B46B1"/>
    <w:rsid w:val="029B04E7"/>
    <w:rsid w:val="02B53888"/>
    <w:rsid w:val="02F172AC"/>
    <w:rsid w:val="03073BDC"/>
    <w:rsid w:val="030F216A"/>
    <w:rsid w:val="032134E9"/>
    <w:rsid w:val="0337268E"/>
    <w:rsid w:val="033F44DC"/>
    <w:rsid w:val="035F75A4"/>
    <w:rsid w:val="037B5FB5"/>
    <w:rsid w:val="038E35E9"/>
    <w:rsid w:val="03915DEB"/>
    <w:rsid w:val="03985ACE"/>
    <w:rsid w:val="03D4716A"/>
    <w:rsid w:val="042900C9"/>
    <w:rsid w:val="04A45057"/>
    <w:rsid w:val="04CE7AEE"/>
    <w:rsid w:val="04EE0CCB"/>
    <w:rsid w:val="0555228E"/>
    <w:rsid w:val="055870D1"/>
    <w:rsid w:val="056C3AED"/>
    <w:rsid w:val="058A1330"/>
    <w:rsid w:val="059D1E39"/>
    <w:rsid w:val="05E078B3"/>
    <w:rsid w:val="064035FC"/>
    <w:rsid w:val="064D22D9"/>
    <w:rsid w:val="066A2ACD"/>
    <w:rsid w:val="066F1ED1"/>
    <w:rsid w:val="06711807"/>
    <w:rsid w:val="067F49B3"/>
    <w:rsid w:val="06D01934"/>
    <w:rsid w:val="070C599D"/>
    <w:rsid w:val="07250881"/>
    <w:rsid w:val="072B5A2B"/>
    <w:rsid w:val="07322F8B"/>
    <w:rsid w:val="0747169B"/>
    <w:rsid w:val="07587973"/>
    <w:rsid w:val="075E42FF"/>
    <w:rsid w:val="077D0583"/>
    <w:rsid w:val="077E373B"/>
    <w:rsid w:val="079724D0"/>
    <w:rsid w:val="07A3082E"/>
    <w:rsid w:val="08146476"/>
    <w:rsid w:val="082A352F"/>
    <w:rsid w:val="084343C9"/>
    <w:rsid w:val="084D0ADD"/>
    <w:rsid w:val="084E1E18"/>
    <w:rsid w:val="08581907"/>
    <w:rsid w:val="088E2DBB"/>
    <w:rsid w:val="089D5DBC"/>
    <w:rsid w:val="08B05670"/>
    <w:rsid w:val="08C349D1"/>
    <w:rsid w:val="08C805D7"/>
    <w:rsid w:val="08CC0D13"/>
    <w:rsid w:val="09082337"/>
    <w:rsid w:val="093D6246"/>
    <w:rsid w:val="094A5FC4"/>
    <w:rsid w:val="096F1551"/>
    <w:rsid w:val="0993533A"/>
    <w:rsid w:val="099F06DD"/>
    <w:rsid w:val="09BE4947"/>
    <w:rsid w:val="09EA0515"/>
    <w:rsid w:val="09F67CD5"/>
    <w:rsid w:val="0A0957E1"/>
    <w:rsid w:val="0A7B50B4"/>
    <w:rsid w:val="0A8A3FFF"/>
    <w:rsid w:val="0AA615D8"/>
    <w:rsid w:val="0ABC2A4F"/>
    <w:rsid w:val="0ACD04EF"/>
    <w:rsid w:val="0AD3248D"/>
    <w:rsid w:val="0B2A6186"/>
    <w:rsid w:val="0B3D5147"/>
    <w:rsid w:val="0B4306C5"/>
    <w:rsid w:val="0B6B20A7"/>
    <w:rsid w:val="0B9E71DF"/>
    <w:rsid w:val="0BB427D1"/>
    <w:rsid w:val="0BCD5C26"/>
    <w:rsid w:val="0BF10670"/>
    <w:rsid w:val="0C46396D"/>
    <w:rsid w:val="0C6F272A"/>
    <w:rsid w:val="0C9036C8"/>
    <w:rsid w:val="0C9D30C2"/>
    <w:rsid w:val="0CA126F2"/>
    <w:rsid w:val="0CA646D0"/>
    <w:rsid w:val="0CEA509E"/>
    <w:rsid w:val="0D2F3891"/>
    <w:rsid w:val="0D426E1A"/>
    <w:rsid w:val="0D823D14"/>
    <w:rsid w:val="0D9D65F4"/>
    <w:rsid w:val="0DB252F6"/>
    <w:rsid w:val="0DEE7CA5"/>
    <w:rsid w:val="0E172BD0"/>
    <w:rsid w:val="0E1F6EEE"/>
    <w:rsid w:val="0E347579"/>
    <w:rsid w:val="0E6A1ECE"/>
    <w:rsid w:val="0E6E2422"/>
    <w:rsid w:val="0E8F0168"/>
    <w:rsid w:val="0E9B4F32"/>
    <w:rsid w:val="0EBF3080"/>
    <w:rsid w:val="0EC34966"/>
    <w:rsid w:val="0F0B4FFE"/>
    <w:rsid w:val="0F123F4C"/>
    <w:rsid w:val="0F1E67DB"/>
    <w:rsid w:val="0F7D1115"/>
    <w:rsid w:val="0F9861DB"/>
    <w:rsid w:val="0FA67E91"/>
    <w:rsid w:val="0FBF25D6"/>
    <w:rsid w:val="0FD80B60"/>
    <w:rsid w:val="0FDB5B48"/>
    <w:rsid w:val="10305169"/>
    <w:rsid w:val="10860503"/>
    <w:rsid w:val="10903BC8"/>
    <w:rsid w:val="109076CE"/>
    <w:rsid w:val="10A50104"/>
    <w:rsid w:val="10A85FA8"/>
    <w:rsid w:val="10AF0C2A"/>
    <w:rsid w:val="10B658BE"/>
    <w:rsid w:val="10BA5ACA"/>
    <w:rsid w:val="10BF1033"/>
    <w:rsid w:val="10C92880"/>
    <w:rsid w:val="10FA22E3"/>
    <w:rsid w:val="115B3410"/>
    <w:rsid w:val="117A531D"/>
    <w:rsid w:val="119D7849"/>
    <w:rsid w:val="11AC1F75"/>
    <w:rsid w:val="122658B9"/>
    <w:rsid w:val="1242135C"/>
    <w:rsid w:val="1256212E"/>
    <w:rsid w:val="12770F03"/>
    <w:rsid w:val="12836E1B"/>
    <w:rsid w:val="1299487F"/>
    <w:rsid w:val="12AC74D2"/>
    <w:rsid w:val="12AE3906"/>
    <w:rsid w:val="12C76FC6"/>
    <w:rsid w:val="12CB14EC"/>
    <w:rsid w:val="12D00DD7"/>
    <w:rsid w:val="13344428"/>
    <w:rsid w:val="133C5CE2"/>
    <w:rsid w:val="133E78E9"/>
    <w:rsid w:val="133F535B"/>
    <w:rsid w:val="13660260"/>
    <w:rsid w:val="136C3D77"/>
    <w:rsid w:val="13971F50"/>
    <w:rsid w:val="139D335C"/>
    <w:rsid w:val="13A1683F"/>
    <w:rsid w:val="13C2790D"/>
    <w:rsid w:val="13E5601F"/>
    <w:rsid w:val="14084ECC"/>
    <w:rsid w:val="14197978"/>
    <w:rsid w:val="141B6583"/>
    <w:rsid w:val="14400B3F"/>
    <w:rsid w:val="1442596B"/>
    <w:rsid w:val="144714E3"/>
    <w:rsid w:val="146853FE"/>
    <w:rsid w:val="146A0337"/>
    <w:rsid w:val="14AC00B9"/>
    <w:rsid w:val="14D55B5C"/>
    <w:rsid w:val="14DA3DA1"/>
    <w:rsid w:val="14EE199C"/>
    <w:rsid w:val="14FC2402"/>
    <w:rsid w:val="15010D0F"/>
    <w:rsid w:val="1505370E"/>
    <w:rsid w:val="15284EB8"/>
    <w:rsid w:val="155F3495"/>
    <w:rsid w:val="15663029"/>
    <w:rsid w:val="156D495A"/>
    <w:rsid w:val="15715C2E"/>
    <w:rsid w:val="15BB7E2E"/>
    <w:rsid w:val="161821ED"/>
    <w:rsid w:val="16444A69"/>
    <w:rsid w:val="164B2296"/>
    <w:rsid w:val="16AF6E20"/>
    <w:rsid w:val="16FF3CA8"/>
    <w:rsid w:val="17025890"/>
    <w:rsid w:val="17155857"/>
    <w:rsid w:val="173B456E"/>
    <w:rsid w:val="17950508"/>
    <w:rsid w:val="17C72718"/>
    <w:rsid w:val="17ED4CC9"/>
    <w:rsid w:val="18537599"/>
    <w:rsid w:val="18551679"/>
    <w:rsid w:val="188D68E8"/>
    <w:rsid w:val="189C69D9"/>
    <w:rsid w:val="18A34D06"/>
    <w:rsid w:val="18A72928"/>
    <w:rsid w:val="18BA0CC4"/>
    <w:rsid w:val="18C87C77"/>
    <w:rsid w:val="18F90C9A"/>
    <w:rsid w:val="19010C43"/>
    <w:rsid w:val="19013AC7"/>
    <w:rsid w:val="19084C73"/>
    <w:rsid w:val="194A0457"/>
    <w:rsid w:val="194F6F37"/>
    <w:rsid w:val="196018AD"/>
    <w:rsid w:val="196E5824"/>
    <w:rsid w:val="19713DD4"/>
    <w:rsid w:val="19AF5AFD"/>
    <w:rsid w:val="19BF7943"/>
    <w:rsid w:val="19C81F03"/>
    <w:rsid w:val="19EE20E8"/>
    <w:rsid w:val="1A054259"/>
    <w:rsid w:val="1A097942"/>
    <w:rsid w:val="1ACB6909"/>
    <w:rsid w:val="1B0152D1"/>
    <w:rsid w:val="1B117FA5"/>
    <w:rsid w:val="1B2B6940"/>
    <w:rsid w:val="1B5838BD"/>
    <w:rsid w:val="1B7F6005"/>
    <w:rsid w:val="1BA05608"/>
    <w:rsid w:val="1BAF4E35"/>
    <w:rsid w:val="1BAF6DD1"/>
    <w:rsid w:val="1BE82D8F"/>
    <w:rsid w:val="1C0F5C4A"/>
    <w:rsid w:val="1C132CB9"/>
    <w:rsid w:val="1C346C57"/>
    <w:rsid w:val="1CAA2901"/>
    <w:rsid w:val="1CB92F89"/>
    <w:rsid w:val="1CCC26CA"/>
    <w:rsid w:val="1D037439"/>
    <w:rsid w:val="1D133E21"/>
    <w:rsid w:val="1D3A10D4"/>
    <w:rsid w:val="1D6041FB"/>
    <w:rsid w:val="1D61520F"/>
    <w:rsid w:val="1D786BCA"/>
    <w:rsid w:val="1D805936"/>
    <w:rsid w:val="1D843FB0"/>
    <w:rsid w:val="1DA83A0D"/>
    <w:rsid w:val="1DDF2ACE"/>
    <w:rsid w:val="1E6062BB"/>
    <w:rsid w:val="1E94181D"/>
    <w:rsid w:val="1E9D6342"/>
    <w:rsid w:val="1EBF09C1"/>
    <w:rsid w:val="1ECD4B11"/>
    <w:rsid w:val="1ED879BC"/>
    <w:rsid w:val="1EED420F"/>
    <w:rsid w:val="1EF17B6F"/>
    <w:rsid w:val="1F1B245E"/>
    <w:rsid w:val="1F4C62AC"/>
    <w:rsid w:val="1F6170A9"/>
    <w:rsid w:val="1F6200DE"/>
    <w:rsid w:val="1F652C38"/>
    <w:rsid w:val="1F9C5BBE"/>
    <w:rsid w:val="1FA23A51"/>
    <w:rsid w:val="1FC21C25"/>
    <w:rsid w:val="1FD14046"/>
    <w:rsid w:val="1FE14460"/>
    <w:rsid w:val="20200CA4"/>
    <w:rsid w:val="202C275A"/>
    <w:rsid w:val="203063E1"/>
    <w:rsid w:val="204E6676"/>
    <w:rsid w:val="205C6F65"/>
    <w:rsid w:val="205F334B"/>
    <w:rsid w:val="206C395B"/>
    <w:rsid w:val="20920951"/>
    <w:rsid w:val="20AA7DFE"/>
    <w:rsid w:val="20CB576A"/>
    <w:rsid w:val="20DC4C14"/>
    <w:rsid w:val="20EF698B"/>
    <w:rsid w:val="210634E6"/>
    <w:rsid w:val="21241A3D"/>
    <w:rsid w:val="21292D01"/>
    <w:rsid w:val="215329D3"/>
    <w:rsid w:val="215416B9"/>
    <w:rsid w:val="21822343"/>
    <w:rsid w:val="2194141D"/>
    <w:rsid w:val="2195668B"/>
    <w:rsid w:val="21A2535F"/>
    <w:rsid w:val="21A9601A"/>
    <w:rsid w:val="21AC0BE7"/>
    <w:rsid w:val="21BE044A"/>
    <w:rsid w:val="21BE5AD4"/>
    <w:rsid w:val="21C347A3"/>
    <w:rsid w:val="21CA2BAC"/>
    <w:rsid w:val="21EB0F17"/>
    <w:rsid w:val="224E2FB0"/>
    <w:rsid w:val="228860D2"/>
    <w:rsid w:val="22C67434"/>
    <w:rsid w:val="22C84A78"/>
    <w:rsid w:val="23081A49"/>
    <w:rsid w:val="232C0BCA"/>
    <w:rsid w:val="23460B97"/>
    <w:rsid w:val="23A04A65"/>
    <w:rsid w:val="23A82A04"/>
    <w:rsid w:val="23D11AFC"/>
    <w:rsid w:val="24210188"/>
    <w:rsid w:val="243066C8"/>
    <w:rsid w:val="243D3F45"/>
    <w:rsid w:val="24582DBC"/>
    <w:rsid w:val="245C52F8"/>
    <w:rsid w:val="245E5D40"/>
    <w:rsid w:val="2463385E"/>
    <w:rsid w:val="24844A98"/>
    <w:rsid w:val="24B3612C"/>
    <w:rsid w:val="24CB3B1A"/>
    <w:rsid w:val="24DC7AA4"/>
    <w:rsid w:val="24F96BF6"/>
    <w:rsid w:val="250D568B"/>
    <w:rsid w:val="25134332"/>
    <w:rsid w:val="2515354C"/>
    <w:rsid w:val="25191F5C"/>
    <w:rsid w:val="251E5D80"/>
    <w:rsid w:val="252F3B8F"/>
    <w:rsid w:val="254C3941"/>
    <w:rsid w:val="25572F6C"/>
    <w:rsid w:val="256555F8"/>
    <w:rsid w:val="257E508F"/>
    <w:rsid w:val="25AA2ADA"/>
    <w:rsid w:val="25BF0A19"/>
    <w:rsid w:val="25CA37BB"/>
    <w:rsid w:val="25CB1963"/>
    <w:rsid w:val="25E06614"/>
    <w:rsid w:val="25EB1096"/>
    <w:rsid w:val="261A61EB"/>
    <w:rsid w:val="266A62E7"/>
    <w:rsid w:val="267E150F"/>
    <w:rsid w:val="26805650"/>
    <w:rsid w:val="26BF5712"/>
    <w:rsid w:val="26C46931"/>
    <w:rsid w:val="26F173AA"/>
    <w:rsid w:val="26F24A28"/>
    <w:rsid w:val="26F71EC7"/>
    <w:rsid w:val="27131DE6"/>
    <w:rsid w:val="274120CE"/>
    <w:rsid w:val="276D22A6"/>
    <w:rsid w:val="27805ED2"/>
    <w:rsid w:val="27AB7429"/>
    <w:rsid w:val="27B806C7"/>
    <w:rsid w:val="27C0593E"/>
    <w:rsid w:val="27F46C2F"/>
    <w:rsid w:val="27F713BD"/>
    <w:rsid w:val="280D0ABD"/>
    <w:rsid w:val="281418B3"/>
    <w:rsid w:val="285A5A54"/>
    <w:rsid w:val="285C053E"/>
    <w:rsid w:val="28641BC7"/>
    <w:rsid w:val="28706B14"/>
    <w:rsid w:val="28795D57"/>
    <w:rsid w:val="28CB2F20"/>
    <w:rsid w:val="28F733ED"/>
    <w:rsid w:val="28FC1B87"/>
    <w:rsid w:val="290A7633"/>
    <w:rsid w:val="2945677B"/>
    <w:rsid w:val="296A164B"/>
    <w:rsid w:val="297D0F5C"/>
    <w:rsid w:val="299711A3"/>
    <w:rsid w:val="29BC4C34"/>
    <w:rsid w:val="29E3426B"/>
    <w:rsid w:val="29FA7F26"/>
    <w:rsid w:val="2A0F0262"/>
    <w:rsid w:val="2A11490E"/>
    <w:rsid w:val="2A24123C"/>
    <w:rsid w:val="2A7903F8"/>
    <w:rsid w:val="2A9E41A6"/>
    <w:rsid w:val="2AB361A1"/>
    <w:rsid w:val="2AD176E8"/>
    <w:rsid w:val="2AEA24A8"/>
    <w:rsid w:val="2B774832"/>
    <w:rsid w:val="2BC93350"/>
    <w:rsid w:val="2BCA1C44"/>
    <w:rsid w:val="2BE1364E"/>
    <w:rsid w:val="2C0A1E9D"/>
    <w:rsid w:val="2C4735A9"/>
    <w:rsid w:val="2C5312D1"/>
    <w:rsid w:val="2C6137E6"/>
    <w:rsid w:val="2C9600AF"/>
    <w:rsid w:val="2C9B39D4"/>
    <w:rsid w:val="2CA1029C"/>
    <w:rsid w:val="2CDB2A32"/>
    <w:rsid w:val="2CE732AC"/>
    <w:rsid w:val="2CE74D9A"/>
    <w:rsid w:val="2CE94FBB"/>
    <w:rsid w:val="2D036243"/>
    <w:rsid w:val="2D11052F"/>
    <w:rsid w:val="2D2713FE"/>
    <w:rsid w:val="2D44389F"/>
    <w:rsid w:val="2D510A83"/>
    <w:rsid w:val="2D644464"/>
    <w:rsid w:val="2DAA1531"/>
    <w:rsid w:val="2DD31482"/>
    <w:rsid w:val="2DED4837"/>
    <w:rsid w:val="2DF81D7C"/>
    <w:rsid w:val="2DFC12C6"/>
    <w:rsid w:val="2E592BD6"/>
    <w:rsid w:val="2E9F709C"/>
    <w:rsid w:val="2EA606EB"/>
    <w:rsid w:val="2EC7758A"/>
    <w:rsid w:val="2ECD3B90"/>
    <w:rsid w:val="2ED53BA8"/>
    <w:rsid w:val="2EED0A13"/>
    <w:rsid w:val="2F031089"/>
    <w:rsid w:val="2F1251F2"/>
    <w:rsid w:val="2F404E55"/>
    <w:rsid w:val="2F65609A"/>
    <w:rsid w:val="2F6B777C"/>
    <w:rsid w:val="2FBD09F9"/>
    <w:rsid w:val="300B4508"/>
    <w:rsid w:val="30660B82"/>
    <w:rsid w:val="30923787"/>
    <w:rsid w:val="30962F3E"/>
    <w:rsid w:val="309F648F"/>
    <w:rsid w:val="30AA51DE"/>
    <w:rsid w:val="30B43BCB"/>
    <w:rsid w:val="30D17E68"/>
    <w:rsid w:val="30E43B67"/>
    <w:rsid w:val="30F776DB"/>
    <w:rsid w:val="30FF2795"/>
    <w:rsid w:val="310E3D65"/>
    <w:rsid w:val="31481061"/>
    <w:rsid w:val="315B1DD7"/>
    <w:rsid w:val="3164591C"/>
    <w:rsid w:val="31663925"/>
    <w:rsid w:val="317F78A7"/>
    <w:rsid w:val="3199741D"/>
    <w:rsid w:val="31A561FB"/>
    <w:rsid w:val="31AA2223"/>
    <w:rsid w:val="31C32453"/>
    <w:rsid w:val="31C63526"/>
    <w:rsid w:val="31E41C28"/>
    <w:rsid w:val="31FD180E"/>
    <w:rsid w:val="320B4CF3"/>
    <w:rsid w:val="3214373A"/>
    <w:rsid w:val="32547DD1"/>
    <w:rsid w:val="32586AD3"/>
    <w:rsid w:val="327263ED"/>
    <w:rsid w:val="327F30CF"/>
    <w:rsid w:val="329A6ACE"/>
    <w:rsid w:val="32AB75FA"/>
    <w:rsid w:val="32C64BD3"/>
    <w:rsid w:val="33490C27"/>
    <w:rsid w:val="334F3544"/>
    <w:rsid w:val="3381016B"/>
    <w:rsid w:val="33834A37"/>
    <w:rsid w:val="338C60CE"/>
    <w:rsid w:val="33A253D1"/>
    <w:rsid w:val="33FF73F9"/>
    <w:rsid w:val="34371266"/>
    <w:rsid w:val="34481409"/>
    <w:rsid w:val="345B1306"/>
    <w:rsid w:val="348D3D32"/>
    <w:rsid w:val="34A05C59"/>
    <w:rsid w:val="34C215EF"/>
    <w:rsid w:val="34CB6483"/>
    <w:rsid w:val="34E34B90"/>
    <w:rsid w:val="34EC39C4"/>
    <w:rsid w:val="34FD6C75"/>
    <w:rsid w:val="35191B59"/>
    <w:rsid w:val="35431E06"/>
    <w:rsid w:val="357D51C1"/>
    <w:rsid w:val="35997ED3"/>
    <w:rsid w:val="35B0594E"/>
    <w:rsid w:val="35C47CF3"/>
    <w:rsid w:val="35D5780F"/>
    <w:rsid w:val="360673D5"/>
    <w:rsid w:val="360B1D73"/>
    <w:rsid w:val="360B7EE7"/>
    <w:rsid w:val="36157D72"/>
    <w:rsid w:val="361F3323"/>
    <w:rsid w:val="364A298F"/>
    <w:rsid w:val="364A7B2B"/>
    <w:rsid w:val="3659312E"/>
    <w:rsid w:val="3681117A"/>
    <w:rsid w:val="36E93760"/>
    <w:rsid w:val="36FF5C61"/>
    <w:rsid w:val="37307582"/>
    <w:rsid w:val="3784394E"/>
    <w:rsid w:val="379B41C4"/>
    <w:rsid w:val="37A62041"/>
    <w:rsid w:val="37F25734"/>
    <w:rsid w:val="380321EF"/>
    <w:rsid w:val="380A0B96"/>
    <w:rsid w:val="380F1F50"/>
    <w:rsid w:val="38337F5B"/>
    <w:rsid w:val="385135F5"/>
    <w:rsid w:val="385F665C"/>
    <w:rsid w:val="38771C7F"/>
    <w:rsid w:val="388E6551"/>
    <w:rsid w:val="38AE3BB0"/>
    <w:rsid w:val="38DC5505"/>
    <w:rsid w:val="38E018A2"/>
    <w:rsid w:val="391F7D60"/>
    <w:rsid w:val="392D519F"/>
    <w:rsid w:val="392E58B6"/>
    <w:rsid w:val="39422C16"/>
    <w:rsid w:val="39496AE3"/>
    <w:rsid w:val="3985660B"/>
    <w:rsid w:val="39BB13DA"/>
    <w:rsid w:val="39DB06B3"/>
    <w:rsid w:val="39F02F21"/>
    <w:rsid w:val="3A127976"/>
    <w:rsid w:val="3A1704BF"/>
    <w:rsid w:val="3A7958F3"/>
    <w:rsid w:val="3A7A43B2"/>
    <w:rsid w:val="3A7E5091"/>
    <w:rsid w:val="3AC2467B"/>
    <w:rsid w:val="3AC253ED"/>
    <w:rsid w:val="3ACB5746"/>
    <w:rsid w:val="3AD258E7"/>
    <w:rsid w:val="3AE826D9"/>
    <w:rsid w:val="3B047F30"/>
    <w:rsid w:val="3B1A5A91"/>
    <w:rsid w:val="3B3664CC"/>
    <w:rsid w:val="3B4A6EB6"/>
    <w:rsid w:val="3B673648"/>
    <w:rsid w:val="3BB20883"/>
    <w:rsid w:val="3BF5659F"/>
    <w:rsid w:val="3C134C38"/>
    <w:rsid w:val="3C394599"/>
    <w:rsid w:val="3C635BF2"/>
    <w:rsid w:val="3C7B540C"/>
    <w:rsid w:val="3C8C0B9E"/>
    <w:rsid w:val="3C8E38A4"/>
    <w:rsid w:val="3CC15D07"/>
    <w:rsid w:val="3CE82456"/>
    <w:rsid w:val="3D0527AD"/>
    <w:rsid w:val="3D1229BA"/>
    <w:rsid w:val="3D1D3E8C"/>
    <w:rsid w:val="3D7830E2"/>
    <w:rsid w:val="3D872716"/>
    <w:rsid w:val="3D9F080E"/>
    <w:rsid w:val="3DA8275C"/>
    <w:rsid w:val="3DAD7029"/>
    <w:rsid w:val="3DD133EE"/>
    <w:rsid w:val="3DDE6765"/>
    <w:rsid w:val="3E39525D"/>
    <w:rsid w:val="3E441C7D"/>
    <w:rsid w:val="3E786EB8"/>
    <w:rsid w:val="3E7F0554"/>
    <w:rsid w:val="3EB43823"/>
    <w:rsid w:val="3ECB2614"/>
    <w:rsid w:val="3F104E7C"/>
    <w:rsid w:val="3F105BE8"/>
    <w:rsid w:val="3F1E19C9"/>
    <w:rsid w:val="3F7C38E1"/>
    <w:rsid w:val="3F8D2B60"/>
    <w:rsid w:val="3F8F74CB"/>
    <w:rsid w:val="3FC956FF"/>
    <w:rsid w:val="400131B8"/>
    <w:rsid w:val="40151C98"/>
    <w:rsid w:val="402B196F"/>
    <w:rsid w:val="40375763"/>
    <w:rsid w:val="406B12D1"/>
    <w:rsid w:val="40903A47"/>
    <w:rsid w:val="409C0D37"/>
    <w:rsid w:val="40A36A71"/>
    <w:rsid w:val="40AE5FB4"/>
    <w:rsid w:val="40CB3E39"/>
    <w:rsid w:val="40D07704"/>
    <w:rsid w:val="40EA5ADE"/>
    <w:rsid w:val="410E4736"/>
    <w:rsid w:val="412D4B03"/>
    <w:rsid w:val="414D38DC"/>
    <w:rsid w:val="4169226D"/>
    <w:rsid w:val="41800493"/>
    <w:rsid w:val="419752E1"/>
    <w:rsid w:val="41A14CA0"/>
    <w:rsid w:val="41A167F9"/>
    <w:rsid w:val="41BC286E"/>
    <w:rsid w:val="41C577BA"/>
    <w:rsid w:val="41C80CC0"/>
    <w:rsid w:val="41CF08CB"/>
    <w:rsid w:val="41D3631F"/>
    <w:rsid w:val="41F46181"/>
    <w:rsid w:val="41F466FD"/>
    <w:rsid w:val="422B0BD2"/>
    <w:rsid w:val="42380637"/>
    <w:rsid w:val="425D552F"/>
    <w:rsid w:val="427E2C9C"/>
    <w:rsid w:val="428434A1"/>
    <w:rsid w:val="42A67A24"/>
    <w:rsid w:val="42B84DF7"/>
    <w:rsid w:val="42C36AC1"/>
    <w:rsid w:val="42D846B9"/>
    <w:rsid w:val="43015D68"/>
    <w:rsid w:val="43031F78"/>
    <w:rsid w:val="432B156A"/>
    <w:rsid w:val="433817F8"/>
    <w:rsid w:val="43625625"/>
    <w:rsid w:val="439358CF"/>
    <w:rsid w:val="43AB0DFD"/>
    <w:rsid w:val="43B97E64"/>
    <w:rsid w:val="43D54F80"/>
    <w:rsid w:val="43E05F61"/>
    <w:rsid w:val="440D5045"/>
    <w:rsid w:val="4466378D"/>
    <w:rsid w:val="446D6BBF"/>
    <w:rsid w:val="44D9099E"/>
    <w:rsid w:val="44F5724A"/>
    <w:rsid w:val="451D1CB2"/>
    <w:rsid w:val="455115F5"/>
    <w:rsid w:val="4555581D"/>
    <w:rsid w:val="457602B0"/>
    <w:rsid w:val="457D7419"/>
    <w:rsid w:val="45BE6191"/>
    <w:rsid w:val="45BF679F"/>
    <w:rsid w:val="45D946A9"/>
    <w:rsid w:val="45FE24FC"/>
    <w:rsid w:val="460C5979"/>
    <w:rsid w:val="461A19F3"/>
    <w:rsid w:val="468F3E27"/>
    <w:rsid w:val="46AC250E"/>
    <w:rsid w:val="46C56CAD"/>
    <w:rsid w:val="46D23BD7"/>
    <w:rsid w:val="46E90846"/>
    <w:rsid w:val="46FF61C2"/>
    <w:rsid w:val="473430FD"/>
    <w:rsid w:val="4740667C"/>
    <w:rsid w:val="47672D4D"/>
    <w:rsid w:val="4776027E"/>
    <w:rsid w:val="47783DDD"/>
    <w:rsid w:val="47C01792"/>
    <w:rsid w:val="47C215CA"/>
    <w:rsid w:val="47D3679D"/>
    <w:rsid w:val="47DA737E"/>
    <w:rsid w:val="47E73D60"/>
    <w:rsid w:val="47F831A1"/>
    <w:rsid w:val="4808150F"/>
    <w:rsid w:val="482E6C55"/>
    <w:rsid w:val="483841CB"/>
    <w:rsid w:val="4846727C"/>
    <w:rsid w:val="48655CDB"/>
    <w:rsid w:val="488A4F97"/>
    <w:rsid w:val="48C169FF"/>
    <w:rsid w:val="48D321B5"/>
    <w:rsid w:val="48DC6BCF"/>
    <w:rsid w:val="4966417F"/>
    <w:rsid w:val="49701211"/>
    <w:rsid w:val="49B751BF"/>
    <w:rsid w:val="49E9233D"/>
    <w:rsid w:val="4A0E40C9"/>
    <w:rsid w:val="4A0E6621"/>
    <w:rsid w:val="4A190059"/>
    <w:rsid w:val="4A2324A9"/>
    <w:rsid w:val="4A2C54FD"/>
    <w:rsid w:val="4A3703C6"/>
    <w:rsid w:val="4AA93BAC"/>
    <w:rsid w:val="4AAD1944"/>
    <w:rsid w:val="4AAE33DD"/>
    <w:rsid w:val="4AC31003"/>
    <w:rsid w:val="4AC66610"/>
    <w:rsid w:val="4AE93159"/>
    <w:rsid w:val="4AF26901"/>
    <w:rsid w:val="4AF8354A"/>
    <w:rsid w:val="4B0B4636"/>
    <w:rsid w:val="4B0B7C82"/>
    <w:rsid w:val="4B101FF1"/>
    <w:rsid w:val="4B3B3C56"/>
    <w:rsid w:val="4B6F5171"/>
    <w:rsid w:val="4B850447"/>
    <w:rsid w:val="4B894E29"/>
    <w:rsid w:val="4B8A38B7"/>
    <w:rsid w:val="4BD0339A"/>
    <w:rsid w:val="4BE255AD"/>
    <w:rsid w:val="4C002222"/>
    <w:rsid w:val="4C154D1E"/>
    <w:rsid w:val="4C1E62FB"/>
    <w:rsid w:val="4C247E4A"/>
    <w:rsid w:val="4C414048"/>
    <w:rsid w:val="4C496DB3"/>
    <w:rsid w:val="4C5C2FD3"/>
    <w:rsid w:val="4C74387B"/>
    <w:rsid w:val="4C8E1E13"/>
    <w:rsid w:val="4C8E2AE9"/>
    <w:rsid w:val="4D013E3E"/>
    <w:rsid w:val="4D2455C6"/>
    <w:rsid w:val="4D462159"/>
    <w:rsid w:val="4D553300"/>
    <w:rsid w:val="4D5C5FAC"/>
    <w:rsid w:val="4D7D6E2D"/>
    <w:rsid w:val="4D8C1952"/>
    <w:rsid w:val="4DA00E6E"/>
    <w:rsid w:val="4DA94618"/>
    <w:rsid w:val="4DBE284B"/>
    <w:rsid w:val="4DC605B6"/>
    <w:rsid w:val="4DD81D4B"/>
    <w:rsid w:val="4DEC0985"/>
    <w:rsid w:val="4DFB4F20"/>
    <w:rsid w:val="4E27683A"/>
    <w:rsid w:val="4E330987"/>
    <w:rsid w:val="4E345049"/>
    <w:rsid w:val="4E3678A8"/>
    <w:rsid w:val="4E4B286E"/>
    <w:rsid w:val="4E540431"/>
    <w:rsid w:val="4EA16728"/>
    <w:rsid w:val="4EC74CC4"/>
    <w:rsid w:val="4EF32FFF"/>
    <w:rsid w:val="4F2170E0"/>
    <w:rsid w:val="4F232A9C"/>
    <w:rsid w:val="4F2765B1"/>
    <w:rsid w:val="4F285975"/>
    <w:rsid w:val="4F5E2A8B"/>
    <w:rsid w:val="4F8E43A5"/>
    <w:rsid w:val="4FBF79AC"/>
    <w:rsid w:val="4FE30CD5"/>
    <w:rsid w:val="50290C55"/>
    <w:rsid w:val="50520EBB"/>
    <w:rsid w:val="50607024"/>
    <w:rsid w:val="506A4F14"/>
    <w:rsid w:val="50701CEF"/>
    <w:rsid w:val="50751061"/>
    <w:rsid w:val="507C5FAD"/>
    <w:rsid w:val="507E3A43"/>
    <w:rsid w:val="50811400"/>
    <w:rsid w:val="50BE2993"/>
    <w:rsid w:val="50D63702"/>
    <w:rsid w:val="50E85FF2"/>
    <w:rsid w:val="50F12C37"/>
    <w:rsid w:val="51101AA1"/>
    <w:rsid w:val="512F1290"/>
    <w:rsid w:val="51431C1C"/>
    <w:rsid w:val="51550032"/>
    <w:rsid w:val="515C4409"/>
    <w:rsid w:val="51796EDE"/>
    <w:rsid w:val="51867298"/>
    <w:rsid w:val="518D4602"/>
    <w:rsid w:val="51CF4854"/>
    <w:rsid w:val="521936F1"/>
    <w:rsid w:val="52195EDF"/>
    <w:rsid w:val="52313387"/>
    <w:rsid w:val="523C02D8"/>
    <w:rsid w:val="523D74AF"/>
    <w:rsid w:val="52480238"/>
    <w:rsid w:val="525767B4"/>
    <w:rsid w:val="525B24EE"/>
    <w:rsid w:val="52927F08"/>
    <w:rsid w:val="529357CD"/>
    <w:rsid w:val="529526FD"/>
    <w:rsid w:val="52D4333A"/>
    <w:rsid w:val="52E04D27"/>
    <w:rsid w:val="53041097"/>
    <w:rsid w:val="530448FE"/>
    <w:rsid w:val="532E278A"/>
    <w:rsid w:val="53492294"/>
    <w:rsid w:val="53556360"/>
    <w:rsid w:val="539722AA"/>
    <w:rsid w:val="539A390F"/>
    <w:rsid w:val="53DB3477"/>
    <w:rsid w:val="54AF6B42"/>
    <w:rsid w:val="54B205EE"/>
    <w:rsid w:val="54E218CB"/>
    <w:rsid w:val="54E44BF8"/>
    <w:rsid w:val="54E62225"/>
    <w:rsid w:val="54E80108"/>
    <w:rsid w:val="54FC325C"/>
    <w:rsid w:val="55050D67"/>
    <w:rsid w:val="55220776"/>
    <w:rsid w:val="559C3368"/>
    <w:rsid w:val="55DD6F2A"/>
    <w:rsid w:val="55F72D1E"/>
    <w:rsid w:val="56022FBC"/>
    <w:rsid w:val="561F01EF"/>
    <w:rsid w:val="562805B1"/>
    <w:rsid w:val="56363C2D"/>
    <w:rsid w:val="56514CF9"/>
    <w:rsid w:val="56553261"/>
    <w:rsid w:val="56595FE3"/>
    <w:rsid w:val="565975B0"/>
    <w:rsid w:val="568C4BFC"/>
    <w:rsid w:val="56B10107"/>
    <w:rsid w:val="56B41A58"/>
    <w:rsid w:val="56BC356A"/>
    <w:rsid w:val="56D577C5"/>
    <w:rsid w:val="56E23970"/>
    <w:rsid w:val="5707592E"/>
    <w:rsid w:val="570856B7"/>
    <w:rsid w:val="57091404"/>
    <w:rsid w:val="570C22CF"/>
    <w:rsid w:val="573547FD"/>
    <w:rsid w:val="577A3C7D"/>
    <w:rsid w:val="578F220A"/>
    <w:rsid w:val="5798657F"/>
    <w:rsid w:val="579F0430"/>
    <w:rsid w:val="57B06157"/>
    <w:rsid w:val="57D503EA"/>
    <w:rsid w:val="57FC07D9"/>
    <w:rsid w:val="584E6BAA"/>
    <w:rsid w:val="58500F22"/>
    <w:rsid w:val="58581669"/>
    <w:rsid w:val="58621B9F"/>
    <w:rsid w:val="586E24FB"/>
    <w:rsid w:val="58A56289"/>
    <w:rsid w:val="58B82BCC"/>
    <w:rsid w:val="590D1052"/>
    <w:rsid w:val="591B366A"/>
    <w:rsid w:val="591C0009"/>
    <w:rsid w:val="593223A7"/>
    <w:rsid w:val="59610A7F"/>
    <w:rsid w:val="59632256"/>
    <w:rsid w:val="59687D7F"/>
    <w:rsid w:val="59912A3B"/>
    <w:rsid w:val="599C51D2"/>
    <w:rsid w:val="59A353EA"/>
    <w:rsid w:val="59A81F44"/>
    <w:rsid w:val="59A95289"/>
    <w:rsid w:val="59AA2571"/>
    <w:rsid w:val="59B15F48"/>
    <w:rsid w:val="59C600B6"/>
    <w:rsid w:val="59D15A81"/>
    <w:rsid w:val="59F13672"/>
    <w:rsid w:val="5A07523D"/>
    <w:rsid w:val="5A2802D2"/>
    <w:rsid w:val="5A4425F3"/>
    <w:rsid w:val="5A553984"/>
    <w:rsid w:val="5ACF0F3A"/>
    <w:rsid w:val="5AD450DC"/>
    <w:rsid w:val="5AEE752B"/>
    <w:rsid w:val="5B776461"/>
    <w:rsid w:val="5B7C1136"/>
    <w:rsid w:val="5B7D506F"/>
    <w:rsid w:val="5BAE4C99"/>
    <w:rsid w:val="5BD20414"/>
    <w:rsid w:val="5BF54BBF"/>
    <w:rsid w:val="5C6B1600"/>
    <w:rsid w:val="5C8B39C5"/>
    <w:rsid w:val="5C921AD0"/>
    <w:rsid w:val="5CAF7180"/>
    <w:rsid w:val="5CC77483"/>
    <w:rsid w:val="5CCD5BE1"/>
    <w:rsid w:val="5CD94ADB"/>
    <w:rsid w:val="5CE45D66"/>
    <w:rsid w:val="5D182295"/>
    <w:rsid w:val="5D237020"/>
    <w:rsid w:val="5D2C3550"/>
    <w:rsid w:val="5D3D3693"/>
    <w:rsid w:val="5D5F741C"/>
    <w:rsid w:val="5DAE151D"/>
    <w:rsid w:val="5DAF0874"/>
    <w:rsid w:val="5DC07B62"/>
    <w:rsid w:val="5DCD07B3"/>
    <w:rsid w:val="5DFD51DB"/>
    <w:rsid w:val="5E0D36E5"/>
    <w:rsid w:val="5E16686B"/>
    <w:rsid w:val="5E553D32"/>
    <w:rsid w:val="5E567AFF"/>
    <w:rsid w:val="5E7510E4"/>
    <w:rsid w:val="5EBD3AB4"/>
    <w:rsid w:val="5ED711BC"/>
    <w:rsid w:val="5EDF6BC0"/>
    <w:rsid w:val="5F022708"/>
    <w:rsid w:val="5F05303A"/>
    <w:rsid w:val="5F0928C0"/>
    <w:rsid w:val="5F0A3BA8"/>
    <w:rsid w:val="5F1A5A71"/>
    <w:rsid w:val="5F3D3A73"/>
    <w:rsid w:val="5F434754"/>
    <w:rsid w:val="5F9E6C40"/>
    <w:rsid w:val="5FDA554B"/>
    <w:rsid w:val="5FE87018"/>
    <w:rsid w:val="601175AB"/>
    <w:rsid w:val="602765D8"/>
    <w:rsid w:val="602F201A"/>
    <w:rsid w:val="605F1B37"/>
    <w:rsid w:val="607C3753"/>
    <w:rsid w:val="607E6C6D"/>
    <w:rsid w:val="609578A8"/>
    <w:rsid w:val="60B07268"/>
    <w:rsid w:val="60C30855"/>
    <w:rsid w:val="60CC7FFA"/>
    <w:rsid w:val="60E63ED7"/>
    <w:rsid w:val="60F94394"/>
    <w:rsid w:val="610B17E6"/>
    <w:rsid w:val="61421EFD"/>
    <w:rsid w:val="6143737C"/>
    <w:rsid w:val="615C2588"/>
    <w:rsid w:val="615C5041"/>
    <w:rsid w:val="61834A51"/>
    <w:rsid w:val="61D705BD"/>
    <w:rsid w:val="61DD59E8"/>
    <w:rsid w:val="61E56B7B"/>
    <w:rsid w:val="620A1E9F"/>
    <w:rsid w:val="621F4B54"/>
    <w:rsid w:val="622A5A3A"/>
    <w:rsid w:val="62420984"/>
    <w:rsid w:val="626440CB"/>
    <w:rsid w:val="626A4C35"/>
    <w:rsid w:val="626C4E5F"/>
    <w:rsid w:val="6271154E"/>
    <w:rsid w:val="627D0863"/>
    <w:rsid w:val="62B70B91"/>
    <w:rsid w:val="63206216"/>
    <w:rsid w:val="63305DFA"/>
    <w:rsid w:val="634B3A82"/>
    <w:rsid w:val="63523344"/>
    <w:rsid w:val="63560707"/>
    <w:rsid w:val="6357067F"/>
    <w:rsid w:val="63647006"/>
    <w:rsid w:val="636F153A"/>
    <w:rsid w:val="63D03DEE"/>
    <w:rsid w:val="63D64F8C"/>
    <w:rsid w:val="63DD6E9C"/>
    <w:rsid w:val="63DF5BB4"/>
    <w:rsid w:val="641A2384"/>
    <w:rsid w:val="642167EE"/>
    <w:rsid w:val="648F07D6"/>
    <w:rsid w:val="64942803"/>
    <w:rsid w:val="64CB6601"/>
    <w:rsid w:val="64EF3666"/>
    <w:rsid w:val="64F83D43"/>
    <w:rsid w:val="64FC1880"/>
    <w:rsid w:val="65094EFF"/>
    <w:rsid w:val="651B3798"/>
    <w:rsid w:val="65370CD5"/>
    <w:rsid w:val="655D49E9"/>
    <w:rsid w:val="65847BBF"/>
    <w:rsid w:val="658F76B2"/>
    <w:rsid w:val="65AD63E7"/>
    <w:rsid w:val="65B57404"/>
    <w:rsid w:val="65B93A8D"/>
    <w:rsid w:val="65CA1E2C"/>
    <w:rsid w:val="65D975AE"/>
    <w:rsid w:val="661746DD"/>
    <w:rsid w:val="664805B8"/>
    <w:rsid w:val="665E34DC"/>
    <w:rsid w:val="66C053F3"/>
    <w:rsid w:val="66CD03F2"/>
    <w:rsid w:val="66D221EE"/>
    <w:rsid w:val="66DA55D7"/>
    <w:rsid w:val="66F82180"/>
    <w:rsid w:val="670F41E0"/>
    <w:rsid w:val="673B23C6"/>
    <w:rsid w:val="677D25E8"/>
    <w:rsid w:val="677D265C"/>
    <w:rsid w:val="678A787F"/>
    <w:rsid w:val="67AD6B3A"/>
    <w:rsid w:val="67BD0300"/>
    <w:rsid w:val="67D325C4"/>
    <w:rsid w:val="68031C5B"/>
    <w:rsid w:val="682616B3"/>
    <w:rsid w:val="682A4EAB"/>
    <w:rsid w:val="68316174"/>
    <w:rsid w:val="684D34F9"/>
    <w:rsid w:val="68601901"/>
    <w:rsid w:val="68735736"/>
    <w:rsid w:val="68953736"/>
    <w:rsid w:val="68F533A3"/>
    <w:rsid w:val="690453B7"/>
    <w:rsid w:val="690B53E9"/>
    <w:rsid w:val="690F418B"/>
    <w:rsid w:val="69261B08"/>
    <w:rsid w:val="6980058B"/>
    <w:rsid w:val="699323D6"/>
    <w:rsid w:val="69B32313"/>
    <w:rsid w:val="69CE4429"/>
    <w:rsid w:val="6A007B68"/>
    <w:rsid w:val="6A0409C8"/>
    <w:rsid w:val="6A574E4E"/>
    <w:rsid w:val="6A700D2B"/>
    <w:rsid w:val="6A741183"/>
    <w:rsid w:val="6A7A2736"/>
    <w:rsid w:val="6A7B4B9C"/>
    <w:rsid w:val="6AA651A8"/>
    <w:rsid w:val="6AB70722"/>
    <w:rsid w:val="6AEB121D"/>
    <w:rsid w:val="6AFB78C4"/>
    <w:rsid w:val="6B004CFA"/>
    <w:rsid w:val="6B120A68"/>
    <w:rsid w:val="6B2E5A2E"/>
    <w:rsid w:val="6B586E1F"/>
    <w:rsid w:val="6BA33532"/>
    <w:rsid w:val="6BAF5652"/>
    <w:rsid w:val="6C654611"/>
    <w:rsid w:val="6C6F4FDA"/>
    <w:rsid w:val="6C842D27"/>
    <w:rsid w:val="6C89456C"/>
    <w:rsid w:val="6C930577"/>
    <w:rsid w:val="6C9C494D"/>
    <w:rsid w:val="6CA35C83"/>
    <w:rsid w:val="6CA52710"/>
    <w:rsid w:val="6CAC58B4"/>
    <w:rsid w:val="6CDA5479"/>
    <w:rsid w:val="6D2A4FE2"/>
    <w:rsid w:val="6D304EDC"/>
    <w:rsid w:val="6D4A2539"/>
    <w:rsid w:val="6D572C9F"/>
    <w:rsid w:val="6D97094D"/>
    <w:rsid w:val="6DAE632B"/>
    <w:rsid w:val="6DBE7D5B"/>
    <w:rsid w:val="6DE66FAA"/>
    <w:rsid w:val="6DF009F6"/>
    <w:rsid w:val="6DF9140B"/>
    <w:rsid w:val="6E217EA6"/>
    <w:rsid w:val="6E2666BC"/>
    <w:rsid w:val="6E2F175D"/>
    <w:rsid w:val="6E605E8D"/>
    <w:rsid w:val="6E8959F5"/>
    <w:rsid w:val="6EBC6999"/>
    <w:rsid w:val="6EDF5FC3"/>
    <w:rsid w:val="6EEF1878"/>
    <w:rsid w:val="6EF90D33"/>
    <w:rsid w:val="6F395FBF"/>
    <w:rsid w:val="6F3F60AD"/>
    <w:rsid w:val="6F7A5D4F"/>
    <w:rsid w:val="6F7E3D42"/>
    <w:rsid w:val="6F83312B"/>
    <w:rsid w:val="6F901B66"/>
    <w:rsid w:val="6FA629D4"/>
    <w:rsid w:val="6FA70F58"/>
    <w:rsid w:val="6FD10552"/>
    <w:rsid w:val="6FFA3C1B"/>
    <w:rsid w:val="70014D67"/>
    <w:rsid w:val="70117B8A"/>
    <w:rsid w:val="701569B8"/>
    <w:rsid w:val="70360B36"/>
    <w:rsid w:val="704F39D7"/>
    <w:rsid w:val="70961A7E"/>
    <w:rsid w:val="709E0125"/>
    <w:rsid w:val="70BB2EF0"/>
    <w:rsid w:val="70CC6A1F"/>
    <w:rsid w:val="70CE0A84"/>
    <w:rsid w:val="70DE7C52"/>
    <w:rsid w:val="70E10DC3"/>
    <w:rsid w:val="70F054AD"/>
    <w:rsid w:val="71095983"/>
    <w:rsid w:val="712B024B"/>
    <w:rsid w:val="712D59A6"/>
    <w:rsid w:val="71402F8B"/>
    <w:rsid w:val="71475ADB"/>
    <w:rsid w:val="715D0081"/>
    <w:rsid w:val="717140CF"/>
    <w:rsid w:val="718F10F7"/>
    <w:rsid w:val="71D55C91"/>
    <w:rsid w:val="71DE13EC"/>
    <w:rsid w:val="720E106F"/>
    <w:rsid w:val="722B37CD"/>
    <w:rsid w:val="72305A9A"/>
    <w:rsid w:val="72427DB1"/>
    <w:rsid w:val="726B260D"/>
    <w:rsid w:val="72C133D3"/>
    <w:rsid w:val="73287A23"/>
    <w:rsid w:val="7331324E"/>
    <w:rsid w:val="733946CF"/>
    <w:rsid w:val="73455C21"/>
    <w:rsid w:val="734E22D9"/>
    <w:rsid w:val="7362354D"/>
    <w:rsid w:val="73710635"/>
    <w:rsid w:val="73BF03A5"/>
    <w:rsid w:val="73D41A16"/>
    <w:rsid w:val="73D425F7"/>
    <w:rsid w:val="73D6575A"/>
    <w:rsid w:val="73E2278C"/>
    <w:rsid w:val="73E636C1"/>
    <w:rsid w:val="744056EC"/>
    <w:rsid w:val="74600E53"/>
    <w:rsid w:val="74693C69"/>
    <w:rsid w:val="746A0CB1"/>
    <w:rsid w:val="74712AFB"/>
    <w:rsid w:val="74994192"/>
    <w:rsid w:val="74A31B48"/>
    <w:rsid w:val="74AD4F44"/>
    <w:rsid w:val="74B76643"/>
    <w:rsid w:val="74BC1C78"/>
    <w:rsid w:val="750A2023"/>
    <w:rsid w:val="75171C24"/>
    <w:rsid w:val="75486E94"/>
    <w:rsid w:val="758D04C2"/>
    <w:rsid w:val="75AD0CCB"/>
    <w:rsid w:val="75C00603"/>
    <w:rsid w:val="75C01333"/>
    <w:rsid w:val="75D90D83"/>
    <w:rsid w:val="75E4396D"/>
    <w:rsid w:val="75F020A1"/>
    <w:rsid w:val="760C2743"/>
    <w:rsid w:val="7615032B"/>
    <w:rsid w:val="76655349"/>
    <w:rsid w:val="76667A03"/>
    <w:rsid w:val="76764807"/>
    <w:rsid w:val="7676736A"/>
    <w:rsid w:val="768F29EE"/>
    <w:rsid w:val="76926203"/>
    <w:rsid w:val="76933951"/>
    <w:rsid w:val="76A901E4"/>
    <w:rsid w:val="76F54F87"/>
    <w:rsid w:val="771D661B"/>
    <w:rsid w:val="771F7714"/>
    <w:rsid w:val="77207795"/>
    <w:rsid w:val="773903BD"/>
    <w:rsid w:val="773F662A"/>
    <w:rsid w:val="77617342"/>
    <w:rsid w:val="77890DAA"/>
    <w:rsid w:val="779319D7"/>
    <w:rsid w:val="77D835AD"/>
    <w:rsid w:val="77EE2F48"/>
    <w:rsid w:val="77F10205"/>
    <w:rsid w:val="784E332E"/>
    <w:rsid w:val="78782A0D"/>
    <w:rsid w:val="78AE29A0"/>
    <w:rsid w:val="78C57EA9"/>
    <w:rsid w:val="78CA6BEF"/>
    <w:rsid w:val="791A571A"/>
    <w:rsid w:val="79286132"/>
    <w:rsid w:val="796411DB"/>
    <w:rsid w:val="797E392B"/>
    <w:rsid w:val="798955B6"/>
    <w:rsid w:val="799648AA"/>
    <w:rsid w:val="79A2171F"/>
    <w:rsid w:val="79A252FF"/>
    <w:rsid w:val="79D33056"/>
    <w:rsid w:val="79E119BE"/>
    <w:rsid w:val="79E65B55"/>
    <w:rsid w:val="79E76BC3"/>
    <w:rsid w:val="79F46E3A"/>
    <w:rsid w:val="7A0131C9"/>
    <w:rsid w:val="7A0E722C"/>
    <w:rsid w:val="7A124C14"/>
    <w:rsid w:val="7A475E69"/>
    <w:rsid w:val="7A6A3147"/>
    <w:rsid w:val="7A810C37"/>
    <w:rsid w:val="7ABB10EE"/>
    <w:rsid w:val="7B105707"/>
    <w:rsid w:val="7B302E56"/>
    <w:rsid w:val="7B350C9D"/>
    <w:rsid w:val="7B7B2609"/>
    <w:rsid w:val="7B7D36B3"/>
    <w:rsid w:val="7B9741C7"/>
    <w:rsid w:val="7BD27B88"/>
    <w:rsid w:val="7C0A1E29"/>
    <w:rsid w:val="7C1E1AF3"/>
    <w:rsid w:val="7C26369C"/>
    <w:rsid w:val="7C311CA7"/>
    <w:rsid w:val="7C3933DF"/>
    <w:rsid w:val="7C4A37AF"/>
    <w:rsid w:val="7C590E02"/>
    <w:rsid w:val="7C897B83"/>
    <w:rsid w:val="7C9E5A24"/>
    <w:rsid w:val="7CAC00CB"/>
    <w:rsid w:val="7CBE2557"/>
    <w:rsid w:val="7CE73C35"/>
    <w:rsid w:val="7CFB794F"/>
    <w:rsid w:val="7D022178"/>
    <w:rsid w:val="7D575412"/>
    <w:rsid w:val="7D62117D"/>
    <w:rsid w:val="7D7E5CB0"/>
    <w:rsid w:val="7D83197B"/>
    <w:rsid w:val="7D9D4B2B"/>
    <w:rsid w:val="7DB3208B"/>
    <w:rsid w:val="7DB5193A"/>
    <w:rsid w:val="7DB54254"/>
    <w:rsid w:val="7DE55867"/>
    <w:rsid w:val="7E181D7D"/>
    <w:rsid w:val="7E2118A1"/>
    <w:rsid w:val="7E3E1EF2"/>
    <w:rsid w:val="7E4B337A"/>
    <w:rsid w:val="7E5E744E"/>
    <w:rsid w:val="7E951513"/>
    <w:rsid w:val="7EA96AC5"/>
    <w:rsid w:val="7EB06086"/>
    <w:rsid w:val="7EC118B4"/>
    <w:rsid w:val="7EC83404"/>
    <w:rsid w:val="7ED01B68"/>
    <w:rsid w:val="7EF74FC9"/>
    <w:rsid w:val="7F1626A0"/>
    <w:rsid w:val="7F3745CA"/>
    <w:rsid w:val="7F5A59DA"/>
    <w:rsid w:val="7F653669"/>
    <w:rsid w:val="7F750737"/>
    <w:rsid w:val="7F846976"/>
    <w:rsid w:val="7F96461A"/>
    <w:rsid w:val="7FA01201"/>
    <w:rsid w:val="7FB901DB"/>
    <w:rsid w:val="7FBB72CB"/>
    <w:rsid w:val="7FE11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99" w:name="toc 2"/>
    <w:lsdException w:qFormat="1" w:uiPriority="9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iPriority="99" w:semiHidden="0" w:name="footer"/>
    <w:lsdException w:uiPriority="99" w:name="index heading"/>
    <w:lsdException w:qFormat="1" w:uiPriority="99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qFormat="1" w:unhideWhenUsed="0" w:uiPriority="0" w:semiHidden="0" w:name="List 3"/>
    <w:lsdException w:qFormat="1" w:unhideWhenUsed="0" w:uiPriority="0" w:semiHidden="0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qFormat="1" w:uiPriority="99" w:name="HTML Definition"/>
    <w:lsdException w:qFormat="1" w:uiPriority="99" w:name="HTML Keyboard"/>
    <w:lsdException w:uiPriority="99" w:name="HTML Preformatted"/>
    <w:lsdException w:qFormat="1"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50" w:beforeLines="50" w:after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qFormat/>
    <w:uiPriority w:val="9"/>
    <w:pPr>
      <w:numPr>
        <w:ilvl w:val="1"/>
      </w:numPr>
      <w:pBdr>
        <w:top w:val="none" w:color="auto" w:sz="0" w:space="0"/>
      </w:pBdr>
      <w:spacing w:before="180"/>
      <w:ind w:right="100" w:rightChars="100"/>
      <w:jc w:val="left"/>
      <w:outlineLvl w:val="1"/>
    </w:pPr>
    <w:rPr>
      <w:sz w:val="20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1"/>
    <w:next w:val="1"/>
    <w:link w:val="74"/>
    <w:unhideWhenUsed/>
    <w:qFormat/>
    <w:uiPriority w:val="9"/>
    <w:pPr>
      <w:keepNext/>
      <w:keepLines/>
      <w:spacing w:before="40" w:beforeLines="0" w:after="0" w:afterLines="0" w:line="240" w:lineRule="auto"/>
      <w:ind w:left="864" w:hanging="864"/>
      <w:jc w:val="left"/>
      <w:outlineLvl w:val="3"/>
    </w:pPr>
    <w:rPr>
      <w:rFonts w:eastAsiaTheme="majorEastAsia" w:cstheme="minorHAnsi"/>
      <w:bCs/>
      <w:kern w:val="0"/>
      <w:sz w:val="20"/>
      <w:lang w:val="en-GB" w:eastAsia="en-US"/>
    </w:rPr>
  </w:style>
  <w:style w:type="paragraph" w:styleId="6">
    <w:name w:val="heading 5"/>
    <w:basedOn w:val="1"/>
    <w:next w:val="1"/>
    <w:link w:val="75"/>
    <w:semiHidden/>
    <w:unhideWhenUsed/>
    <w:qFormat/>
    <w:uiPriority w:val="9"/>
    <w:pPr>
      <w:keepNext/>
      <w:keepLines/>
      <w:spacing w:before="40" w:beforeLines="0" w:after="0" w:afterLines="0" w:line="240" w:lineRule="auto"/>
      <w:ind w:left="1008" w:hanging="1008"/>
      <w:jc w:val="left"/>
      <w:outlineLvl w:val="4"/>
    </w:pPr>
    <w:rPr>
      <w:rFonts w:asciiTheme="majorHAnsi" w:hAnsiTheme="majorHAnsi" w:eastAsiaTheme="majorEastAsia" w:cstheme="majorBidi"/>
      <w:color w:val="376092" w:themeColor="accent1" w:themeShade="BF"/>
      <w:kern w:val="0"/>
      <w:sz w:val="20"/>
      <w:lang w:val="en-GB" w:eastAsia="en-US"/>
    </w:rPr>
  </w:style>
  <w:style w:type="paragraph" w:styleId="7">
    <w:name w:val="heading 6"/>
    <w:basedOn w:val="1"/>
    <w:next w:val="1"/>
    <w:link w:val="76"/>
    <w:semiHidden/>
    <w:unhideWhenUsed/>
    <w:qFormat/>
    <w:uiPriority w:val="9"/>
    <w:pPr>
      <w:keepNext/>
      <w:keepLines/>
      <w:spacing w:before="40" w:beforeLines="0" w:after="0" w:afterLines="0" w:line="240" w:lineRule="auto"/>
      <w:ind w:left="1152" w:hanging="1152"/>
      <w:jc w:val="left"/>
      <w:outlineLvl w:val="5"/>
    </w:pPr>
    <w:rPr>
      <w:rFonts w:asciiTheme="majorHAnsi" w:hAnsiTheme="majorHAnsi" w:eastAsiaTheme="majorEastAsia" w:cstheme="majorBidi"/>
      <w:color w:val="254061" w:themeColor="accent1" w:themeShade="80"/>
      <w:kern w:val="0"/>
      <w:sz w:val="20"/>
      <w:lang w:val="en-GB" w:eastAsia="en-US"/>
    </w:rPr>
  </w:style>
  <w:style w:type="paragraph" w:styleId="8">
    <w:name w:val="heading 7"/>
    <w:basedOn w:val="1"/>
    <w:next w:val="1"/>
    <w:link w:val="77"/>
    <w:semiHidden/>
    <w:unhideWhenUsed/>
    <w:qFormat/>
    <w:uiPriority w:val="9"/>
    <w:pPr>
      <w:keepNext/>
      <w:keepLines/>
      <w:spacing w:before="40" w:beforeLines="0" w:after="0" w:afterLines="0" w:line="240" w:lineRule="auto"/>
      <w:ind w:left="1296" w:hanging="1296"/>
      <w:jc w:val="left"/>
      <w:outlineLvl w:val="6"/>
    </w:pPr>
    <w:rPr>
      <w:rFonts w:asciiTheme="majorHAnsi" w:hAnsiTheme="majorHAnsi" w:eastAsiaTheme="majorEastAsia" w:cstheme="majorBidi"/>
      <w:i/>
      <w:iCs/>
      <w:color w:val="254061" w:themeColor="accent1" w:themeShade="80"/>
      <w:kern w:val="0"/>
      <w:sz w:val="20"/>
      <w:lang w:val="en-GB" w:eastAsia="en-US"/>
    </w:rPr>
  </w:style>
  <w:style w:type="paragraph" w:styleId="9">
    <w:name w:val="heading 8"/>
    <w:basedOn w:val="1"/>
    <w:next w:val="1"/>
    <w:link w:val="78"/>
    <w:semiHidden/>
    <w:unhideWhenUsed/>
    <w:qFormat/>
    <w:uiPriority w:val="9"/>
    <w:pPr>
      <w:keepNext/>
      <w:keepLines/>
      <w:spacing w:before="40" w:beforeLines="0" w:after="0" w:afterLines="0" w:line="240" w:lineRule="auto"/>
      <w:ind w:left="1440" w:hanging="1440"/>
      <w:jc w:val="left"/>
      <w:outlineLvl w:val="7"/>
    </w:pPr>
    <w:rPr>
      <w:rFonts w:asciiTheme="majorHAnsi" w:hAnsiTheme="majorHAnsi" w:eastAsiaTheme="majorEastAsia" w:cstheme="majorBidi"/>
      <w:color w:val="262626" w:themeColor="text1" w:themeTint="D9"/>
      <w:kern w:val="0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79"/>
    <w:semiHidden/>
    <w:unhideWhenUsed/>
    <w:qFormat/>
    <w:uiPriority w:val="9"/>
    <w:pPr>
      <w:keepNext/>
      <w:keepLines/>
      <w:spacing w:before="40" w:beforeLines="0" w:after="0" w:afterLines="0" w:line="240" w:lineRule="auto"/>
      <w:ind w:left="1584" w:hanging="1584"/>
      <w:jc w:val="left"/>
      <w:outlineLvl w:val="8"/>
    </w:pPr>
    <w:rPr>
      <w:rFonts w:asciiTheme="majorHAnsi" w:hAnsiTheme="majorHAnsi" w:eastAsiaTheme="majorEastAsia" w:cstheme="majorBidi"/>
      <w:i/>
      <w:iCs/>
      <w:color w:val="262626" w:themeColor="text1" w:themeTint="D9"/>
      <w:kern w:val="0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29">
    <w:name w:val="Default Paragraph Font"/>
    <w:semiHidden/>
    <w:unhideWhenUsed/>
    <w:uiPriority w:val="1"/>
  </w:style>
  <w:style w:type="table" w:default="1" w:styleId="2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semiHidden/>
    <w:unhideWhenUsed/>
    <w:qFormat/>
    <w:uiPriority w:val="99"/>
    <w:pPr>
      <w:ind w:left="100" w:leftChars="200" w:hanging="200" w:hangingChars="200"/>
      <w:contextualSpacing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caption"/>
    <w:basedOn w:val="1"/>
    <w:next w:val="1"/>
    <w:unhideWhenUsed/>
    <w:qFormat/>
    <w:uiPriority w:val="99"/>
    <w:rPr>
      <w:rFonts w:ascii="Arial" w:hAnsi="Arial" w:eastAsia="黑体"/>
      <w:sz w:val="20"/>
    </w:rPr>
  </w:style>
  <w:style w:type="paragraph" w:styleId="15">
    <w:name w:val="annotation text"/>
    <w:basedOn w:val="1"/>
    <w:link w:val="50"/>
    <w:semiHidden/>
    <w:qFormat/>
    <w:uiPriority w:val="0"/>
  </w:style>
  <w:style w:type="paragraph" w:styleId="16">
    <w:name w:val="Body Text"/>
    <w:basedOn w:val="1"/>
    <w:qFormat/>
    <w:uiPriority w:val="0"/>
  </w:style>
  <w:style w:type="paragraph" w:styleId="17">
    <w:name w:val="toc 3"/>
    <w:basedOn w:val="1"/>
    <w:next w:val="1"/>
    <w:unhideWhenUsed/>
    <w:qFormat/>
    <w:uiPriority w:val="9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8">
    <w:name w:val="Balloon Text"/>
    <w:basedOn w:val="1"/>
    <w:link w:val="49"/>
    <w:semiHidden/>
    <w:unhideWhenUsed/>
    <w:qFormat/>
    <w:uiPriority w:val="99"/>
    <w:pPr>
      <w:spacing w:before="0" w:after="0" w:line="240" w:lineRule="auto"/>
    </w:pPr>
    <w:rPr>
      <w:rFonts w:ascii="Microsoft YaHei UI" w:eastAsia="Microsoft YaHei UI"/>
      <w:sz w:val="18"/>
      <w:szCs w:val="18"/>
    </w:rPr>
  </w:style>
  <w:style w:type="paragraph" w:styleId="19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link w:val="52"/>
    <w:semiHidden/>
    <w:qFormat/>
    <w:uiPriority w:val="0"/>
    <w:pPr>
      <w:tabs>
        <w:tab w:val="center" w:pos="4680"/>
        <w:tab w:val="right" w:pos="9360"/>
      </w:tabs>
      <w:spacing w:before="0" w:after="0" w:line="240" w:lineRule="auto"/>
    </w:pPr>
  </w:style>
  <w:style w:type="paragraph" w:styleId="21">
    <w:name w:val="toc 1"/>
    <w:basedOn w:val="1"/>
    <w:next w:val="1"/>
    <w:unhideWhenUsed/>
    <w:qFormat/>
    <w:uiPriority w:val="39"/>
    <w:pPr>
      <w:tabs>
        <w:tab w:val="decimal" w:pos="0"/>
        <w:tab w:val="right" w:pos="9660"/>
      </w:tabs>
      <w:ind w:right="420" w:rightChars="200"/>
      <w:jc w:val="left"/>
    </w:pPr>
    <w:rPr>
      <w:rFonts w:eastAsiaTheme="minorEastAsia"/>
      <w:b/>
      <w:bCs/>
      <w:i/>
      <w:iCs/>
      <w:sz w:val="20"/>
    </w:rPr>
  </w:style>
  <w:style w:type="paragraph" w:styleId="22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3">
    <w:name w:val="toc 2"/>
    <w:basedOn w:val="1"/>
    <w:next w:val="1"/>
    <w:semiHidden/>
    <w:unhideWhenUsed/>
    <w:qFormat/>
    <w:uiPriority w:val="99"/>
    <w:pPr>
      <w:tabs>
        <w:tab w:val="right" w:pos="420"/>
      </w:tabs>
      <w:ind w:left="862" w:leftChars="200" w:hanging="442" w:hangingChars="200"/>
      <w:jc w:val="left"/>
    </w:pPr>
    <w:rPr>
      <w:b/>
      <w:i/>
      <w:sz w:val="20"/>
    </w:rPr>
  </w:style>
  <w:style w:type="paragraph" w:styleId="24">
    <w:name w:val="List 4"/>
    <w:basedOn w:val="11"/>
    <w:qFormat/>
    <w:uiPriority w:val="0"/>
    <w:pPr>
      <w:ind w:left="1418"/>
    </w:pPr>
  </w:style>
  <w:style w:type="paragraph" w:styleId="25">
    <w:name w:val="Normal (Web)"/>
    <w:basedOn w:val="1"/>
    <w:unhideWhenUsed/>
    <w:qFormat/>
    <w:uiPriority w:val="99"/>
    <w:pPr>
      <w:spacing w:after="0"/>
      <w:jc w:val="left"/>
    </w:pPr>
    <w:rPr>
      <w:rFonts w:ascii="宋体" w:hAnsi="宋体" w:cs="宋体"/>
      <w:sz w:val="24"/>
      <w:szCs w:val="24"/>
    </w:rPr>
  </w:style>
  <w:style w:type="paragraph" w:styleId="26">
    <w:name w:val="annotation subject"/>
    <w:basedOn w:val="15"/>
    <w:next w:val="15"/>
    <w:link w:val="51"/>
    <w:semiHidden/>
    <w:unhideWhenUsed/>
    <w:qFormat/>
    <w:uiPriority w:val="99"/>
    <w:pPr>
      <w:spacing w:line="240" w:lineRule="auto"/>
    </w:pPr>
    <w:rPr>
      <w:b/>
      <w:bCs/>
      <w:sz w:val="20"/>
    </w:rPr>
  </w:style>
  <w:style w:type="table" w:styleId="28">
    <w:name w:val="Table Grid"/>
    <w:basedOn w:val="27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Strong"/>
    <w:basedOn w:val="29"/>
    <w:qFormat/>
    <w:uiPriority w:val="99"/>
    <w:rPr>
      <w:b/>
      <w:sz w:val="20"/>
      <w:szCs w:val="20"/>
      <w:shd w:val="clear" w:color="auto" w:fill="00A65A"/>
    </w:rPr>
  </w:style>
  <w:style w:type="character" w:styleId="31">
    <w:name w:val="FollowedHyperlink"/>
    <w:basedOn w:val="29"/>
    <w:semiHidden/>
    <w:unhideWhenUsed/>
    <w:qFormat/>
    <w:uiPriority w:val="99"/>
    <w:rPr>
      <w:color w:val="409EFF"/>
      <w:u w:val="none"/>
    </w:rPr>
  </w:style>
  <w:style w:type="character" w:styleId="32">
    <w:name w:val="HTML Definition"/>
    <w:basedOn w:val="29"/>
    <w:semiHidden/>
    <w:unhideWhenUsed/>
    <w:qFormat/>
    <w:uiPriority w:val="99"/>
    <w:rPr>
      <w:i/>
      <w:shd w:val="clear" w:color="auto" w:fill="FFFFFF"/>
    </w:rPr>
  </w:style>
  <w:style w:type="character" w:styleId="33">
    <w:name w:val="Hyperlink"/>
    <w:basedOn w:val="29"/>
    <w:unhideWhenUsed/>
    <w:qFormat/>
    <w:uiPriority w:val="99"/>
    <w:rPr>
      <w:color w:val="409EFF"/>
      <w:u w:val="none"/>
    </w:rPr>
  </w:style>
  <w:style w:type="character" w:styleId="34">
    <w:name w:val="HTML Code"/>
    <w:basedOn w:val="29"/>
    <w:semiHidden/>
    <w:unhideWhenUsed/>
    <w:qFormat/>
    <w:uiPriority w:val="99"/>
    <w:rPr>
      <w:rFonts w:hint="default"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35">
    <w:name w:val="annotation reference"/>
    <w:basedOn w:val="29"/>
    <w:semiHidden/>
    <w:unhideWhenUsed/>
    <w:qFormat/>
    <w:uiPriority w:val="99"/>
    <w:rPr>
      <w:sz w:val="16"/>
      <w:szCs w:val="16"/>
    </w:rPr>
  </w:style>
  <w:style w:type="character" w:styleId="36">
    <w:name w:val="HTML Keyboard"/>
    <w:basedOn w:val="29"/>
    <w:semiHidden/>
    <w:unhideWhenUsed/>
    <w:qFormat/>
    <w:uiPriority w:val="99"/>
    <w:rPr>
      <w:rFonts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37">
    <w:name w:val="HTML Sample"/>
    <w:basedOn w:val="29"/>
    <w:semiHidden/>
    <w:unhideWhenUsed/>
    <w:qFormat/>
    <w:uiPriority w:val="99"/>
    <w:rPr>
      <w:rFonts w:hint="default" w:ascii="Consolas" w:hAnsi="Consolas" w:eastAsia="Consolas" w:cs="Consolas"/>
      <w:sz w:val="21"/>
      <w:szCs w:val="21"/>
    </w:rPr>
  </w:style>
  <w:style w:type="paragraph" w:customStyle="1" w:styleId="38">
    <w:name w:val="YJ-Observation"/>
    <w:basedOn w:val="39"/>
    <w:qFormat/>
    <w:uiPriority w:val="0"/>
    <w:pPr>
      <w:numPr>
        <w:ilvl w:val="0"/>
        <w:numId w:val="2"/>
      </w:numPr>
      <w:tabs>
        <w:tab w:val="left" w:pos="420"/>
      </w:tabs>
      <w:spacing w:before="0" w:beforeLines="0" w:after="0" w:afterLines="0" w:line="260" w:lineRule="auto"/>
    </w:pPr>
  </w:style>
  <w:style w:type="paragraph" w:customStyle="1" w:styleId="39">
    <w:name w:val="YJ-Proposal"/>
    <w:basedOn w:val="1"/>
    <w:qFormat/>
    <w:uiPriority w:val="0"/>
    <w:pPr>
      <w:numPr>
        <w:ilvl w:val="0"/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40">
    <w:name w:val="sub-proposal"/>
    <w:basedOn w:val="39"/>
    <w:next w:val="1"/>
    <w:qFormat/>
    <w:uiPriority w:val="0"/>
    <w:pPr>
      <w:numPr>
        <w:numId w:val="4"/>
      </w:numPr>
      <w:tabs>
        <w:tab w:val="left" w:pos="420"/>
        <w:tab w:val="left" w:pos="807"/>
      </w:tabs>
      <w:ind w:left="862" w:leftChars="200" w:hanging="442" w:hangingChars="200"/>
    </w:pPr>
  </w:style>
  <w:style w:type="paragraph" w:customStyle="1" w:styleId="41">
    <w:name w:val="sub-observation"/>
    <w:basedOn w:val="40"/>
    <w:next w:val="1"/>
    <w:qFormat/>
    <w:uiPriority w:val="0"/>
  </w:style>
  <w:style w:type="paragraph" w:customStyle="1" w:styleId="42">
    <w:name w:val="3rd level proposal"/>
    <w:basedOn w:val="40"/>
    <w:next w:val="1"/>
    <w:qFormat/>
    <w:uiPriority w:val="0"/>
    <w:pPr>
      <w:numPr>
        <w:ilvl w:val="0"/>
        <w:numId w:val="5"/>
      </w:numPr>
      <w:ind w:left="1282" w:leftChars="400" w:hanging="442"/>
    </w:pPr>
  </w:style>
  <w:style w:type="paragraph" w:customStyle="1" w:styleId="43">
    <w:name w:val="3rd level observation"/>
    <w:basedOn w:val="41"/>
    <w:qFormat/>
    <w:uiPriority w:val="0"/>
    <w:pPr>
      <w:numPr>
        <w:ilvl w:val="0"/>
        <w:numId w:val="6"/>
      </w:numPr>
      <w:ind w:left="1282" w:leftChars="400" w:hanging="442"/>
    </w:pPr>
  </w:style>
  <w:style w:type="paragraph" w:customStyle="1" w:styleId="44">
    <w:name w:val="References"/>
    <w:basedOn w:val="1"/>
    <w:qFormat/>
    <w:uiPriority w:val="0"/>
    <w:pPr>
      <w:numPr>
        <w:ilvl w:val="0"/>
        <w:numId w:val="7"/>
      </w:numPr>
      <w:spacing w:after="60"/>
    </w:pPr>
    <w:rPr>
      <w:szCs w:val="16"/>
    </w:rPr>
  </w:style>
  <w:style w:type="paragraph" w:styleId="45">
    <w:name w:val="List Paragraph"/>
    <w:basedOn w:val="1"/>
    <w:link w:val="72"/>
    <w:qFormat/>
    <w:uiPriority w:val="34"/>
    <w:pPr>
      <w:spacing w:beforeLines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46">
    <w:name w:val="样式1"/>
    <w:basedOn w:val="1"/>
    <w:qFormat/>
    <w:uiPriority w:val="0"/>
  </w:style>
  <w:style w:type="paragraph" w:customStyle="1" w:styleId="47">
    <w:name w:val="样式2"/>
    <w:basedOn w:val="1"/>
    <w:qFormat/>
    <w:uiPriority w:val="0"/>
  </w:style>
  <w:style w:type="character" w:customStyle="1" w:styleId="48">
    <w:name w:val="apple-converted-space"/>
    <w:basedOn w:val="29"/>
    <w:qFormat/>
    <w:uiPriority w:val="0"/>
  </w:style>
  <w:style w:type="character" w:customStyle="1" w:styleId="49">
    <w:name w:val="批注框文本 Char"/>
    <w:basedOn w:val="29"/>
    <w:link w:val="18"/>
    <w:semiHidden/>
    <w:qFormat/>
    <w:uiPriority w:val="99"/>
    <w:rPr>
      <w:rFonts w:ascii="Microsoft YaHei UI" w:eastAsia="Microsoft YaHei UI"/>
      <w:kern w:val="2"/>
      <w:sz w:val="18"/>
      <w:szCs w:val="18"/>
    </w:rPr>
  </w:style>
  <w:style w:type="character" w:customStyle="1" w:styleId="50">
    <w:name w:val="批注文字 Char"/>
    <w:basedOn w:val="29"/>
    <w:link w:val="15"/>
    <w:semiHidden/>
    <w:qFormat/>
    <w:uiPriority w:val="0"/>
    <w:rPr>
      <w:kern w:val="2"/>
      <w:sz w:val="21"/>
    </w:rPr>
  </w:style>
  <w:style w:type="character" w:customStyle="1" w:styleId="51">
    <w:name w:val="批注主题 Char"/>
    <w:basedOn w:val="50"/>
    <w:link w:val="26"/>
    <w:semiHidden/>
    <w:qFormat/>
    <w:uiPriority w:val="99"/>
    <w:rPr>
      <w:b/>
      <w:bCs/>
      <w:kern w:val="2"/>
      <w:sz w:val="21"/>
    </w:rPr>
  </w:style>
  <w:style w:type="character" w:customStyle="1" w:styleId="52">
    <w:name w:val="页眉 Char"/>
    <w:basedOn w:val="29"/>
    <w:link w:val="20"/>
    <w:semiHidden/>
    <w:qFormat/>
    <w:uiPriority w:val="0"/>
    <w:rPr>
      <w:kern w:val="2"/>
      <w:sz w:val="21"/>
    </w:rPr>
  </w:style>
  <w:style w:type="character" w:customStyle="1" w:styleId="53">
    <w:name w:val="badge58"/>
    <w:basedOn w:val="29"/>
    <w:qFormat/>
    <w:uiPriority w:val="0"/>
    <w:rPr>
      <w:b/>
      <w:color w:val="FFFFFF"/>
      <w:sz w:val="24"/>
      <w:szCs w:val="24"/>
      <w:shd w:val="clear" w:color="auto" w:fill="001F3F"/>
    </w:rPr>
  </w:style>
  <w:style w:type="character" w:customStyle="1" w:styleId="54">
    <w:name w:val="hover16"/>
    <w:basedOn w:val="29"/>
    <w:qFormat/>
    <w:uiPriority w:val="0"/>
    <w:rPr>
      <w:shd w:val="clear" w:color="auto" w:fill="EEEEEE"/>
    </w:rPr>
  </w:style>
  <w:style w:type="character" w:customStyle="1" w:styleId="55">
    <w:name w:val="active3"/>
    <w:basedOn w:val="29"/>
    <w:qFormat/>
    <w:uiPriority w:val="0"/>
    <w:rPr>
      <w:color w:val="FFFFFF"/>
      <w:shd w:val="clear" w:color="auto" w:fill="006DCC"/>
    </w:rPr>
  </w:style>
  <w:style w:type="character" w:customStyle="1" w:styleId="56">
    <w:name w:val="old"/>
    <w:basedOn w:val="29"/>
    <w:qFormat/>
    <w:uiPriority w:val="0"/>
    <w:rPr>
      <w:color w:val="999999"/>
    </w:rPr>
  </w:style>
  <w:style w:type="character" w:customStyle="1" w:styleId="57">
    <w:name w:val="via1"/>
    <w:basedOn w:val="29"/>
    <w:qFormat/>
    <w:uiPriority w:val="0"/>
    <w:rPr>
      <w:color w:val="959595"/>
    </w:rPr>
  </w:style>
  <w:style w:type="character" w:customStyle="1" w:styleId="58">
    <w:name w:val="keyword1"/>
    <w:basedOn w:val="29"/>
    <w:qFormat/>
    <w:uiPriority w:val="0"/>
  </w:style>
  <w:style w:type="character" w:customStyle="1" w:styleId="59">
    <w:name w:val="badge57"/>
    <w:basedOn w:val="29"/>
    <w:qFormat/>
    <w:uiPriority w:val="0"/>
    <w:rPr>
      <w:b/>
      <w:color w:val="FFFFFF"/>
      <w:sz w:val="24"/>
      <w:szCs w:val="24"/>
      <w:shd w:val="clear" w:color="auto" w:fill="001F3F"/>
    </w:rPr>
  </w:style>
  <w:style w:type="character" w:customStyle="1" w:styleId="60">
    <w:name w:val="active1"/>
    <w:basedOn w:val="29"/>
    <w:qFormat/>
    <w:uiPriority w:val="0"/>
    <w:rPr>
      <w:color w:val="FFFFFF"/>
      <w:shd w:val="clear" w:color="auto" w:fill="006DCC"/>
    </w:rPr>
  </w:style>
  <w:style w:type="character" w:customStyle="1" w:styleId="61">
    <w:name w:val="badge56"/>
    <w:basedOn w:val="29"/>
    <w:qFormat/>
    <w:uiPriority w:val="0"/>
    <w:rPr>
      <w:b/>
      <w:color w:val="FFFFFF"/>
      <w:sz w:val="24"/>
      <w:szCs w:val="24"/>
      <w:shd w:val="clear" w:color="auto" w:fill="001F3F"/>
    </w:rPr>
  </w:style>
  <w:style w:type="character" w:customStyle="1" w:styleId="62">
    <w:name w:val="hover14"/>
    <w:basedOn w:val="29"/>
    <w:qFormat/>
    <w:uiPriority w:val="0"/>
    <w:rPr>
      <w:shd w:val="clear" w:color="auto" w:fill="EEEEEE"/>
    </w:rPr>
  </w:style>
  <w:style w:type="paragraph" w:customStyle="1" w:styleId="63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4">
    <w:name w:val="hover15"/>
    <w:basedOn w:val="29"/>
    <w:qFormat/>
    <w:uiPriority w:val="0"/>
    <w:rPr>
      <w:shd w:val="clear" w:color="auto" w:fill="EEEEEE"/>
    </w:rPr>
  </w:style>
  <w:style w:type="paragraph" w:customStyle="1" w:styleId="65">
    <w:name w:val="Default"/>
    <w:unhideWhenUsed/>
    <w:qFormat/>
    <w:uiPriority w:val="99"/>
    <w:pPr>
      <w:widowControl w:val="0"/>
      <w:autoSpaceDE w:val="0"/>
      <w:autoSpaceDN w:val="0"/>
      <w:adjustRightInd w:val="0"/>
      <w:spacing w:after="160" w:line="259" w:lineRule="auto"/>
    </w:pPr>
    <w:rPr>
      <w:rFonts w:hint="eastAsia" w:ascii="Times New Roman" w:hAnsi="Times New Roman" w:eastAsia="Times New Roman" w:cs="Times New Roman"/>
      <w:color w:val="000000"/>
      <w:sz w:val="24"/>
      <w:lang w:val="en-US" w:eastAsia="zh-CN" w:bidi="ar-SA"/>
    </w:rPr>
  </w:style>
  <w:style w:type="character" w:customStyle="1" w:styleId="66">
    <w:name w:val="hover"/>
    <w:basedOn w:val="29"/>
    <w:qFormat/>
    <w:uiPriority w:val="0"/>
    <w:rPr>
      <w:shd w:val="clear" w:color="auto" w:fill="EEEEEE"/>
    </w:rPr>
  </w:style>
  <w:style w:type="paragraph" w:customStyle="1" w:styleId="6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8">
    <w:name w:val="badge55"/>
    <w:basedOn w:val="29"/>
    <w:qFormat/>
    <w:uiPriority w:val="0"/>
    <w:rPr>
      <w:b/>
      <w:color w:val="FFFFFF"/>
      <w:sz w:val="24"/>
      <w:szCs w:val="24"/>
      <w:shd w:val="clear" w:color="auto" w:fill="001F3F"/>
    </w:rPr>
  </w:style>
  <w:style w:type="character" w:customStyle="1" w:styleId="69">
    <w:name w:val="active"/>
    <w:basedOn w:val="29"/>
    <w:qFormat/>
    <w:uiPriority w:val="0"/>
    <w:rPr>
      <w:color w:val="FFFFFF"/>
      <w:shd w:val="clear" w:color="auto" w:fill="006DCC"/>
    </w:rPr>
  </w:style>
  <w:style w:type="character" w:customStyle="1" w:styleId="70">
    <w:name w:val="badge"/>
    <w:basedOn w:val="29"/>
    <w:qFormat/>
    <w:uiPriority w:val="0"/>
    <w:rPr>
      <w:b/>
      <w:color w:val="FFFFFF"/>
      <w:sz w:val="24"/>
      <w:szCs w:val="24"/>
      <w:shd w:val="clear" w:color="auto" w:fill="001F3F"/>
    </w:rPr>
  </w:style>
  <w:style w:type="paragraph" w:customStyle="1" w:styleId="71">
    <w:name w:val="B1"/>
    <w:basedOn w:val="13"/>
    <w:qFormat/>
    <w:uiPriority w:val="0"/>
  </w:style>
  <w:style w:type="character" w:customStyle="1" w:styleId="72">
    <w:name w:val="列出段落 Char"/>
    <w:link w:val="45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73">
    <w:name w:val="B2"/>
    <w:basedOn w:val="12"/>
    <w:qFormat/>
    <w:uiPriority w:val="0"/>
    <w:pPr>
      <w:overflowPunct w:val="0"/>
      <w:autoSpaceDE w:val="0"/>
      <w:autoSpaceDN w:val="0"/>
      <w:adjustRightInd w:val="0"/>
      <w:spacing w:before="100" w:beforeLines="0" w:beforeAutospacing="1" w:after="180" w:afterLines="0" w:line="240" w:lineRule="auto"/>
      <w:ind w:left="851" w:leftChars="0" w:hanging="284" w:firstLineChars="0"/>
      <w:contextualSpacing w:val="0"/>
      <w:jc w:val="left"/>
      <w:textAlignment w:val="baseline"/>
    </w:pPr>
    <w:rPr>
      <w:kern w:val="0"/>
      <w:sz w:val="24"/>
      <w:szCs w:val="24"/>
    </w:rPr>
  </w:style>
  <w:style w:type="character" w:customStyle="1" w:styleId="74">
    <w:name w:val="标题 4 Char"/>
    <w:basedOn w:val="29"/>
    <w:link w:val="5"/>
    <w:qFormat/>
    <w:uiPriority w:val="9"/>
    <w:rPr>
      <w:rFonts w:eastAsiaTheme="majorEastAsia" w:cstheme="minorHAnsi"/>
      <w:bCs/>
      <w:lang w:val="en-GB" w:eastAsia="en-US"/>
    </w:rPr>
  </w:style>
  <w:style w:type="character" w:customStyle="1" w:styleId="75">
    <w:name w:val="标题 5 Char"/>
    <w:basedOn w:val="29"/>
    <w:link w:val="6"/>
    <w:semiHidden/>
    <w:qFormat/>
    <w:uiPriority w:val="9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76">
    <w:name w:val="标题 6 Char"/>
    <w:basedOn w:val="29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  <w:lang w:val="en-GB" w:eastAsia="en-US"/>
    </w:rPr>
  </w:style>
  <w:style w:type="character" w:customStyle="1" w:styleId="77">
    <w:name w:val="标题 7 Char"/>
    <w:basedOn w:val="29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  <w:lang w:val="en-GB" w:eastAsia="en-US"/>
    </w:rPr>
  </w:style>
  <w:style w:type="character" w:customStyle="1" w:styleId="78">
    <w:name w:val="标题 8 Char"/>
    <w:basedOn w:val="29"/>
    <w:link w:val="9"/>
    <w:semiHidden/>
    <w:qFormat/>
    <w:uiPriority w:val="9"/>
    <w:rPr>
      <w:rFonts w:asciiTheme="majorHAnsi" w:hAnsiTheme="majorHAnsi" w:eastAsiaTheme="majorEastAsia" w:cstheme="majorBidi"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79">
    <w:name w:val="标题 9 Char"/>
    <w:basedOn w:val="29"/>
    <w:link w:val="10"/>
    <w:semiHidden/>
    <w:qFormat/>
    <w:uiPriority w:val="9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80">
    <w:name w:val="B4"/>
    <w:basedOn w:val="24"/>
    <w:qFormat/>
    <w:uiPriority w:val="0"/>
  </w:style>
  <w:style w:type="paragraph" w:customStyle="1" w:styleId="81">
    <w:name w:val="x_xmsonormal"/>
    <w:basedOn w:val="1"/>
    <w:qFormat/>
    <w:uiPriority w:val="0"/>
    <w:rPr>
      <w:rFonts w:ascii="宋体" w:hAnsi="宋体" w:cs="Calibri"/>
      <w:sz w:val="24"/>
    </w:rPr>
  </w:style>
  <w:style w:type="character" w:customStyle="1" w:styleId="82">
    <w:name w:val="font21"/>
    <w:basedOn w:val="2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paragraph" w:customStyle="1" w:styleId="83">
    <w:name w:val="x_msonormal"/>
    <w:basedOn w:val="1"/>
    <w:qFormat/>
    <w:uiPriority w:val="99"/>
    <w:pPr>
      <w:spacing w:before="100" w:beforeAutospacing="1" w:after="100" w:afterAutospacing="1"/>
    </w:pPr>
    <w:rPr>
      <w:rFonts w:ascii="Calibri" w:hAnsi="Calibri" w:cs="Calibri" w:eastAsiaTheme="minorHAnsi"/>
      <w:sz w:val="22"/>
      <w:szCs w:val="22"/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2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6.png"/><Relationship Id="rId15" Type="http://schemas.openxmlformats.org/officeDocument/2006/relationships/image" Target="media/image5.png"/><Relationship Id="rId14" Type="http://schemas.openxmlformats.org/officeDocument/2006/relationships/image" Target="media/image4.wmf"/><Relationship Id="rId13" Type="http://schemas.openxmlformats.org/officeDocument/2006/relationships/oleObject" Target="embeddings/oleObject1.bin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AF4A8D-5938-4978-9019-5CDF2D5757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1972</Words>
  <Characters>11241</Characters>
  <Lines>93</Lines>
  <Paragraphs>26</Paragraphs>
  <TotalTime>57</TotalTime>
  <ScaleCrop>false</ScaleCrop>
  <LinksUpToDate>false</LinksUpToDate>
  <CharactersWithSpaces>13187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2022-02-14T02:50:00Z</dcterms:created>
  <dc:creator>ZTE</dc:creator>
  <cp:lastModifiedBy>ZTE-MXY</cp:lastModifiedBy>
  <dcterms:modified xsi:type="dcterms:W3CDTF">2022-04-29T07:20:03Z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